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4F" w:rsidRPr="00E9575D" w:rsidRDefault="0043644F" w:rsidP="0043644F">
      <w:pPr>
        <w:jc w:val="center"/>
        <w:rPr>
          <w:bCs/>
          <w:iCs/>
          <w:spacing w:val="-2"/>
          <w:sz w:val="20"/>
          <w:szCs w:val="20"/>
        </w:rPr>
      </w:pPr>
    </w:p>
    <w:p w:rsidR="0043644F" w:rsidRPr="00E9575D" w:rsidRDefault="0043644F" w:rsidP="0043644F">
      <w:pPr>
        <w:pStyle w:val="ConsPlusNonformat"/>
        <w:jc w:val="center"/>
        <w:rPr>
          <w:rFonts w:ascii="Times New Roman" w:hAnsi="Times New Roman" w:cs="Times New Roman"/>
        </w:rPr>
      </w:pPr>
    </w:p>
    <w:p w:rsidR="0043644F" w:rsidRPr="000646D1" w:rsidRDefault="0043644F" w:rsidP="0043644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646D1">
        <w:rPr>
          <w:rFonts w:ascii="Times New Roman" w:hAnsi="Times New Roman" w:cs="Times New Roman"/>
          <w:b/>
        </w:rPr>
        <w:t>В. М. Макеев</w:t>
      </w:r>
      <w:bookmarkStart w:id="0" w:name="OLE_LINK11"/>
      <w:bookmarkStart w:id="1" w:name="OLE_LINK12"/>
      <w:r w:rsidRPr="000646D1">
        <w:rPr>
          <w:rFonts w:ascii="Times New Roman" w:hAnsi="Times New Roman" w:cs="Times New Roman"/>
          <w:vertAlign w:val="superscript"/>
        </w:rPr>
        <w:t>1</w:t>
      </w:r>
      <w:bookmarkEnd w:id="0"/>
      <w:bookmarkEnd w:id="1"/>
      <w:r w:rsidRPr="000646D1">
        <w:rPr>
          <w:rFonts w:ascii="Times New Roman" w:hAnsi="Times New Roman" w:cs="Times New Roman"/>
          <w:b/>
        </w:rPr>
        <w:t>, Е. А. Карфидова</w:t>
      </w:r>
      <w:r w:rsidRPr="000646D1">
        <w:rPr>
          <w:rFonts w:ascii="Times New Roman" w:hAnsi="Times New Roman" w:cs="Times New Roman"/>
          <w:vertAlign w:val="superscript"/>
        </w:rPr>
        <w:t>1</w:t>
      </w:r>
      <w:r w:rsidRPr="000646D1">
        <w:rPr>
          <w:rFonts w:ascii="Times New Roman" w:hAnsi="Times New Roman" w:cs="Times New Roman"/>
          <w:b/>
        </w:rPr>
        <w:t>, П.</w:t>
      </w:r>
      <w:r w:rsidRPr="000646D1">
        <w:rPr>
          <w:rFonts w:ascii="Times New Roman" w:hAnsi="Times New Roman" w:cs="Times New Roman"/>
        </w:rPr>
        <w:t> </w:t>
      </w:r>
      <w:r w:rsidRPr="000646D1">
        <w:rPr>
          <w:rFonts w:ascii="Times New Roman" w:hAnsi="Times New Roman" w:cs="Times New Roman"/>
          <w:b/>
        </w:rPr>
        <w:t>С. Микляев</w:t>
      </w:r>
      <w:r w:rsidRPr="000646D1">
        <w:rPr>
          <w:rFonts w:ascii="Times New Roman" w:hAnsi="Times New Roman" w:cs="Times New Roman"/>
          <w:vertAlign w:val="superscript"/>
        </w:rPr>
        <w:t>1</w:t>
      </w:r>
      <w:r w:rsidRPr="000646D1">
        <w:rPr>
          <w:rFonts w:ascii="Times New Roman" w:hAnsi="Times New Roman" w:cs="Times New Roman"/>
          <w:b/>
        </w:rPr>
        <w:t>, А. Н. Авхимович</w:t>
      </w:r>
      <w:r w:rsidRPr="000646D1">
        <w:rPr>
          <w:rFonts w:ascii="Times New Roman" w:hAnsi="Times New Roman" w:cs="Times New Roman"/>
          <w:vertAlign w:val="superscript"/>
        </w:rPr>
        <w:t>2</w:t>
      </w:r>
      <w:r w:rsidRPr="000646D1">
        <w:rPr>
          <w:rFonts w:ascii="Times New Roman" w:hAnsi="Times New Roman" w:cs="Times New Roman"/>
          <w:b/>
        </w:rPr>
        <w:t>, А. Л. Дорожко</w:t>
      </w:r>
      <w:r w:rsidRPr="000646D1">
        <w:rPr>
          <w:rFonts w:ascii="Times New Roman" w:hAnsi="Times New Roman" w:cs="Times New Roman"/>
          <w:vertAlign w:val="superscript"/>
        </w:rPr>
        <w:t>1</w:t>
      </w:r>
      <w:r w:rsidRPr="000646D1">
        <w:rPr>
          <w:rFonts w:ascii="Times New Roman" w:hAnsi="Times New Roman" w:cs="Times New Roman"/>
          <w:b/>
        </w:rPr>
        <w:t>, И. В. Коробова</w:t>
      </w:r>
      <w:r w:rsidRPr="000646D1">
        <w:rPr>
          <w:rFonts w:ascii="Times New Roman" w:hAnsi="Times New Roman" w:cs="Times New Roman"/>
          <w:vertAlign w:val="superscript"/>
        </w:rPr>
        <w:t>1</w:t>
      </w:r>
    </w:p>
    <w:p w:rsidR="0043644F" w:rsidRPr="00A51593" w:rsidRDefault="0043644F" w:rsidP="0043644F">
      <w:pPr>
        <w:jc w:val="center"/>
        <w:rPr>
          <w:sz w:val="18"/>
          <w:szCs w:val="18"/>
        </w:rPr>
      </w:pPr>
    </w:p>
    <w:p w:rsidR="0043644F" w:rsidRPr="00A51593" w:rsidRDefault="0043644F" w:rsidP="0043644F">
      <w:pPr>
        <w:jc w:val="center"/>
        <w:rPr>
          <w:sz w:val="18"/>
          <w:szCs w:val="18"/>
        </w:rPr>
      </w:pPr>
      <w:r w:rsidRPr="00A51593">
        <w:rPr>
          <w:sz w:val="18"/>
          <w:szCs w:val="18"/>
          <w:vertAlign w:val="superscript"/>
        </w:rPr>
        <w:t>1</w:t>
      </w:r>
      <w:r w:rsidRPr="00A51593">
        <w:rPr>
          <w:sz w:val="18"/>
          <w:szCs w:val="18"/>
        </w:rPr>
        <w:t xml:space="preserve"> Институт геоэкологии РАН </w:t>
      </w:r>
    </w:p>
    <w:p w:rsidR="0043644F" w:rsidRPr="00A51593" w:rsidRDefault="0043644F" w:rsidP="0043644F">
      <w:pPr>
        <w:jc w:val="center"/>
        <w:rPr>
          <w:sz w:val="18"/>
          <w:szCs w:val="18"/>
        </w:rPr>
      </w:pPr>
      <w:r w:rsidRPr="00A51593">
        <w:rPr>
          <w:sz w:val="18"/>
          <w:szCs w:val="18"/>
          <w:vertAlign w:val="superscript"/>
        </w:rPr>
        <w:t>2</w:t>
      </w:r>
      <w:r w:rsidRPr="00A51593">
        <w:rPr>
          <w:sz w:val="18"/>
          <w:szCs w:val="18"/>
        </w:rPr>
        <w:t> Р</w:t>
      </w:r>
      <w:r w:rsidRPr="00A51593">
        <w:rPr>
          <w:sz w:val="18"/>
          <w:szCs w:val="18"/>
          <w:lang w:val="be-BY"/>
        </w:rPr>
        <w:t>еспубл</w:t>
      </w:r>
      <w:r w:rsidRPr="00A51593">
        <w:rPr>
          <w:sz w:val="18"/>
          <w:szCs w:val="18"/>
        </w:rPr>
        <w:t>иканское унитарное предприятие «Белгеология»</w:t>
      </w:r>
    </w:p>
    <w:p w:rsidR="0043644F" w:rsidRPr="00A51593" w:rsidRDefault="0043644F" w:rsidP="0043644F">
      <w:pPr>
        <w:jc w:val="center"/>
        <w:rPr>
          <w:sz w:val="18"/>
          <w:szCs w:val="18"/>
        </w:rPr>
      </w:pPr>
    </w:p>
    <w:p w:rsidR="0043644F" w:rsidRPr="000646D1" w:rsidRDefault="0043644F" w:rsidP="0043644F">
      <w:pPr>
        <w:jc w:val="center"/>
        <w:rPr>
          <w:b/>
          <w:caps/>
          <w:sz w:val="20"/>
          <w:szCs w:val="20"/>
        </w:rPr>
      </w:pPr>
      <w:r w:rsidRPr="000646D1">
        <w:rPr>
          <w:b/>
          <w:caps/>
          <w:sz w:val="20"/>
          <w:szCs w:val="20"/>
        </w:rPr>
        <w:t>Метод изучения СТРУКТУРНых несогласий при геодинамических исследов</w:t>
      </w:r>
      <w:r w:rsidRPr="000646D1">
        <w:rPr>
          <w:b/>
          <w:caps/>
          <w:sz w:val="20"/>
          <w:szCs w:val="20"/>
        </w:rPr>
        <w:t>а</w:t>
      </w:r>
      <w:r w:rsidRPr="000646D1">
        <w:rPr>
          <w:b/>
          <w:caps/>
          <w:sz w:val="20"/>
          <w:szCs w:val="20"/>
        </w:rPr>
        <w:t>ниях</w:t>
      </w:r>
    </w:p>
    <w:p w:rsidR="0043644F" w:rsidRPr="000646D1" w:rsidRDefault="0043644F" w:rsidP="0043644F">
      <w:pPr>
        <w:jc w:val="both"/>
        <w:rPr>
          <w:bCs/>
          <w:sz w:val="20"/>
          <w:szCs w:val="20"/>
          <w:lang w:val="be-BY"/>
        </w:rPr>
      </w:pPr>
    </w:p>
    <w:p w:rsidR="0043644F" w:rsidRPr="000646D1" w:rsidRDefault="0043644F" w:rsidP="0043644F">
      <w:pPr>
        <w:ind w:firstLine="340"/>
        <w:jc w:val="both"/>
        <w:rPr>
          <w:bCs/>
          <w:sz w:val="20"/>
          <w:szCs w:val="20"/>
        </w:rPr>
      </w:pPr>
      <w:r w:rsidRPr="000646D1">
        <w:rPr>
          <w:bCs/>
          <w:sz w:val="20"/>
          <w:szCs w:val="20"/>
        </w:rPr>
        <w:t>С целью исследования в платформенных условиях зон повышенных напряжений и деформаций разной пр</w:t>
      </w:r>
      <w:r w:rsidRPr="000646D1">
        <w:rPr>
          <w:bCs/>
          <w:sz w:val="20"/>
          <w:szCs w:val="20"/>
        </w:rPr>
        <w:t>о</w:t>
      </w:r>
      <w:r w:rsidRPr="000646D1">
        <w:rPr>
          <w:bCs/>
          <w:sz w:val="20"/>
          <w:szCs w:val="20"/>
        </w:rPr>
        <w:t>странственной ориентировки </w:t>
      </w:r>
      <w:r w:rsidRPr="000646D1">
        <w:rPr>
          <w:sz w:val="20"/>
        </w:rPr>
        <w:t>—</w:t>
      </w:r>
      <w:r w:rsidRPr="000646D1">
        <w:rPr>
          <w:bCs/>
          <w:sz w:val="20"/>
          <w:szCs w:val="20"/>
        </w:rPr>
        <w:t> субвертикальных и субгоризонтальных геодинамически активных зон (ГдАЗ), в Свирско-Ошмянском районе были проведены работы, направленные на выявление структурной рассогласованн</w:t>
      </w:r>
      <w:r w:rsidRPr="000646D1">
        <w:rPr>
          <w:bCs/>
          <w:sz w:val="20"/>
          <w:szCs w:val="20"/>
        </w:rPr>
        <w:t>о</w:t>
      </w:r>
      <w:r w:rsidRPr="000646D1">
        <w:rPr>
          <w:bCs/>
          <w:sz w:val="20"/>
          <w:szCs w:val="20"/>
        </w:rPr>
        <w:t>сти (несогласий) в палеозойском чехле, включая поверхность кристаллического фундамента. Предполагается, что древняя рассогласованность в условиях неотектонических напряжений приводят к появлению повышенных дефо</w:t>
      </w:r>
      <w:r w:rsidRPr="000646D1">
        <w:rPr>
          <w:bCs/>
          <w:sz w:val="20"/>
          <w:szCs w:val="20"/>
        </w:rPr>
        <w:t>р</w:t>
      </w:r>
      <w:r w:rsidRPr="000646D1">
        <w:rPr>
          <w:bCs/>
          <w:sz w:val="20"/>
          <w:szCs w:val="20"/>
        </w:rPr>
        <w:t>маций (дислокаций) или субгоризонтальных геодинамически активных зон. Исследования проводились на основе выявления нес</w:t>
      </w:r>
      <w:r w:rsidRPr="000646D1">
        <w:rPr>
          <w:bCs/>
          <w:sz w:val="20"/>
          <w:szCs w:val="20"/>
        </w:rPr>
        <w:t>о</w:t>
      </w:r>
      <w:r w:rsidRPr="000646D1">
        <w:rPr>
          <w:bCs/>
          <w:sz w:val="20"/>
          <w:szCs w:val="20"/>
        </w:rPr>
        <w:t>гласованности горизонтов чехла относительно друг друга по азимутальному критерию. Выявление подобных зон н</w:t>
      </w:r>
      <w:r w:rsidRPr="000646D1">
        <w:rPr>
          <w:bCs/>
          <w:sz w:val="20"/>
          <w:szCs w:val="20"/>
        </w:rPr>
        <w:t>е</w:t>
      </w:r>
      <w:r w:rsidRPr="000646D1">
        <w:rPr>
          <w:bCs/>
          <w:sz w:val="20"/>
          <w:szCs w:val="20"/>
        </w:rPr>
        <w:t>обходимо, поскольку с ними связывается образование малых по размеру дислокаций, которые не выявляются при д</w:t>
      </w:r>
      <w:r w:rsidRPr="000646D1">
        <w:rPr>
          <w:bCs/>
          <w:sz w:val="20"/>
          <w:szCs w:val="20"/>
        </w:rPr>
        <w:t>е</w:t>
      </w:r>
      <w:r w:rsidRPr="000646D1">
        <w:rPr>
          <w:bCs/>
          <w:sz w:val="20"/>
          <w:szCs w:val="20"/>
        </w:rPr>
        <w:t>тальных инженерно-геологических исследованиях, но очень важны при оценке геодинамической безопасности и ге</w:t>
      </w:r>
      <w:r w:rsidRPr="000646D1">
        <w:rPr>
          <w:bCs/>
          <w:sz w:val="20"/>
          <w:szCs w:val="20"/>
        </w:rPr>
        <w:t>о</w:t>
      </w:r>
      <w:r w:rsidRPr="000646D1">
        <w:rPr>
          <w:bCs/>
          <w:sz w:val="20"/>
          <w:szCs w:val="20"/>
        </w:rPr>
        <w:t>экологической устойчивости.</w:t>
      </w:r>
    </w:p>
    <w:p w:rsidR="0043644F" w:rsidRPr="000646D1" w:rsidRDefault="0043644F" w:rsidP="0043644F">
      <w:pPr>
        <w:ind w:firstLine="340"/>
        <w:jc w:val="both"/>
        <w:rPr>
          <w:bCs/>
          <w:sz w:val="20"/>
          <w:szCs w:val="20"/>
        </w:rPr>
      </w:pPr>
      <w:r w:rsidRPr="000646D1">
        <w:rPr>
          <w:bCs/>
          <w:sz w:val="20"/>
          <w:szCs w:val="20"/>
        </w:rPr>
        <w:t xml:space="preserve">Метод оценки </w:t>
      </w:r>
      <w:bookmarkStart w:id="2" w:name="OLE_LINK5"/>
      <w:bookmarkStart w:id="3" w:name="OLE_LINK6"/>
      <w:r w:rsidRPr="000646D1">
        <w:rPr>
          <w:bCs/>
          <w:sz w:val="20"/>
          <w:szCs w:val="20"/>
        </w:rPr>
        <w:t xml:space="preserve">азимутального несогласия опорных поверхностей </w:t>
      </w:r>
      <w:bookmarkEnd w:id="2"/>
      <w:bookmarkEnd w:id="3"/>
      <w:r w:rsidRPr="000646D1">
        <w:rPr>
          <w:bCs/>
          <w:sz w:val="20"/>
          <w:szCs w:val="20"/>
        </w:rPr>
        <w:t>осадочного чехла разработан и внедрен в практ</w:t>
      </w:r>
      <w:r w:rsidRPr="000646D1">
        <w:rPr>
          <w:bCs/>
          <w:sz w:val="20"/>
          <w:szCs w:val="20"/>
        </w:rPr>
        <w:t>и</w:t>
      </w:r>
      <w:r w:rsidRPr="000646D1">
        <w:rPr>
          <w:bCs/>
          <w:sz w:val="20"/>
          <w:szCs w:val="20"/>
        </w:rPr>
        <w:t xml:space="preserve">ку в лаборатории эндогенной геодинамики и неотектоники ИГЭ им. Е. М. Сергеева РАН под руководством В. И. Макарова </w:t>
      </w:r>
      <w:r>
        <w:rPr>
          <w:bCs/>
          <w:sz w:val="20"/>
          <w:szCs w:val="20"/>
        </w:rPr>
        <w:t>[1]. Рассогласованность (расслоё</w:t>
      </w:r>
      <w:r w:rsidRPr="000646D1">
        <w:rPr>
          <w:bCs/>
          <w:sz w:val="20"/>
          <w:szCs w:val="20"/>
        </w:rPr>
        <w:t>нность) структур рассматривается с позиции простра</w:t>
      </w:r>
      <w:r w:rsidRPr="000646D1">
        <w:rPr>
          <w:bCs/>
          <w:sz w:val="20"/>
          <w:szCs w:val="20"/>
        </w:rPr>
        <w:t>н</w:t>
      </w:r>
      <w:r w:rsidRPr="000646D1">
        <w:rPr>
          <w:bCs/>
          <w:sz w:val="20"/>
          <w:szCs w:val="20"/>
        </w:rPr>
        <w:t>ственно-временных закономерностей унаследованности древних структур более молодыми. Предполагается, что степень ра</w:t>
      </w:r>
      <w:r w:rsidRPr="000646D1">
        <w:rPr>
          <w:bCs/>
          <w:sz w:val="20"/>
          <w:szCs w:val="20"/>
        </w:rPr>
        <w:t>с</w:t>
      </w:r>
      <w:r w:rsidRPr="000646D1">
        <w:rPr>
          <w:bCs/>
          <w:sz w:val="20"/>
          <w:szCs w:val="20"/>
        </w:rPr>
        <w:t>согласованности структур определяет их дифференциацию по напряженно-деформированному состоянию: чем больше азимутальный угол рассогласования, тем больше напряженность. Рассогласованность является необход</w:t>
      </w:r>
      <w:r w:rsidRPr="000646D1">
        <w:rPr>
          <w:bCs/>
          <w:sz w:val="20"/>
          <w:szCs w:val="20"/>
        </w:rPr>
        <w:t>и</w:t>
      </w:r>
      <w:r w:rsidRPr="000646D1">
        <w:rPr>
          <w:bCs/>
          <w:sz w:val="20"/>
          <w:szCs w:val="20"/>
        </w:rPr>
        <w:t>мым условием для появления дополнительных напряжений, поскольку дисгармоничные по вещественному и стру</w:t>
      </w:r>
      <w:r w:rsidRPr="000646D1">
        <w:rPr>
          <w:bCs/>
          <w:sz w:val="20"/>
          <w:szCs w:val="20"/>
        </w:rPr>
        <w:t>к</w:t>
      </w:r>
      <w:r w:rsidRPr="000646D1">
        <w:rPr>
          <w:bCs/>
          <w:sz w:val="20"/>
          <w:szCs w:val="20"/>
        </w:rPr>
        <w:t>турному признаку слои по-разному реагируют на неотектоническое поле напряжений. Это явление выражается в формировании субгоризонтальных ГдАЗ пониженной устойчивости пород и повышенной их трещиноват</w:t>
      </w:r>
      <w:r w:rsidRPr="000646D1">
        <w:rPr>
          <w:bCs/>
          <w:sz w:val="20"/>
          <w:szCs w:val="20"/>
        </w:rPr>
        <w:t>о</w:t>
      </w:r>
      <w:r w:rsidRPr="000646D1">
        <w:rPr>
          <w:bCs/>
          <w:sz w:val="20"/>
          <w:szCs w:val="20"/>
        </w:rPr>
        <w:t>сти</w:t>
      </w:r>
      <w:bookmarkStart w:id="4" w:name="OLE_LINK15"/>
      <w:bookmarkStart w:id="5" w:name="OLE_LINK16"/>
      <w:r w:rsidRPr="000646D1">
        <w:rPr>
          <w:bCs/>
          <w:sz w:val="20"/>
          <w:szCs w:val="20"/>
        </w:rPr>
        <w:t xml:space="preserve">. </w:t>
      </w:r>
    </w:p>
    <w:bookmarkEnd w:id="4"/>
    <w:bookmarkEnd w:id="5"/>
    <w:p w:rsidR="0043644F" w:rsidRPr="000646D1" w:rsidRDefault="0043644F" w:rsidP="0043644F">
      <w:pPr>
        <w:ind w:firstLine="340"/>
        <w:jc w:val="both"/>
        <w:rPr>
          <w:sz w:val="20"/>
          <w:szCs w:val="20"/>
        </w:rPr>
      </w:pPr>
      <w:r w:rsidRPr="000646D1">
        <w:rPr>
          <w:sz w:val="20"/>
          <w:szCs w:val="20"/>
        </w:rPr>
        <w:t>Азимутальная несогласованность рассчитывалась между двумя поверхностями кровли опорных горизонтов: между кристаллическим фундаментом и ордовиком, между ордовиком и силуром, между силуром</w:t>
      </w:r>
      <w:r>
        <w:rPr>
          <w:sz w:val="20"/>
          <w:szCs w:val="20"/>
        </w:rPr>
        <w:t xml:space="preserve"> и девоном. По результатам расчё</w:t>
      </w:r>
      <w:r w:rsidRPr="000646D1">
        <w:rPr>
          <w:sz w:val="20"/>
          <w:szCs w:val="20"/>
        </w:rPr>
        <w:t>тов строились карты с выделением зон (ареалов, областей) азимутальной несогласованности м</w:t>
      </w:r>
      <w:r w:rsidRPr="000646D1">
        <w:rPr>
          <w:sz w:val="20"/>
          <w:szCs w:val="20"/>
        </w:rPr>
        <w:t>е</w:t>
      </w:r>
      <w:r w:rsidRPr="000646D1">
        <w:rPr>
          <w:sz w:val="20"/>
          <w:szCs w:val="20"/>
        </w:rPr>
        <w:t>жду о</w:t>
      </w:r>
      <w:r>
        <w:rPr>
          <w:sz w:val="20"/>
          <w:szCs w:val="20"/>
        </w:rPr>
        <w:t>порными горизонтами. Метод расчё</w:t>
      </w:r>
      <w:r w:rsidRPr="000646D1">
        <w:rPr>
          <w:sz w:val="20"/>
          <w:szCs w:val="20"/>
        </w:rPr>
        <w:t>та и картографирования азимутального несогласия основывается на ра</w:t>
      </w:r>
      <w:r w:rsidRPr="000646D1">
        <w:rPr>
          <w:sz w:val="20"/>
          <w:szCs w:val="20"/>
        </w:rPr>
        <w:t>з</w:t>
      </w:r>
      <w:r w:rsidRPr="000646D1">
        <w:rPr>
          <w:sz w:val="20"/>
          <w:szCs w:val="20"/>
        </w:rPr>
        <w:t xml:space="preserve">витии задач анализа цифровой модели рельефа (ЦМР) в </w:t>
      </w:r>
      <w:r>
        <w:rPr>
          <w:sz w:val="20"/>
          <w:szCs w:val="20"/>
        </w:rPr>
        <w:t xml:space="preserve">приложении к двум поверхностям </w:t>
      </w:r>
      <w:r w:rsidRPr="000646D1">
        <w:rPr>
          <w:sz w:val="20"/>
          <w:szCs w:val="20"/>
        </w:rPr>
        <w:t>кровли соседних опо</w:t>
      </w:r>
      <w:r w:rsidRPr="000646D1">
        <w:rPr>
          <w:sz w:val="20"/>
          <w:szCs w:val="20"/>
        </w:rPr>
        <w:t>р</w:t>
      </w:r>
      <w:r w:rsidRPr="000646D1">
        <w:rPr>
          <w:sz w:val="20"/>
          <w:szCs w:val="20"/>
        </w:rPr>
        <w:t>ных горизонтов. Логическая схема модели оценки азимутальной несогласов</w:t>
      </w:r>
      <w:r>
        <w:rPr>
          <w:sz w:val="20"/>
          <w:szCs w:val="20"/>
        </w:rPr>
        <w:t>анности представлена на рисунке </w:t>
      </w:r>
      <w:r w:rsidRPr="000646D1">
        <w:rPr>
          <w:sz w:val="20"/>
          <w:szCs w:val="20"/>
        </w:rPr>
        <w:t xml:space="preserve">1. </w:t>
      </w:r>
    </w:p>
    <w:p w:rsidR="0043644F" w:rsidRDefault="0043644F" w:rsidP="0043644F">
      <w:pPr>
        <w:ind w:firstLine="340"/>
        <w:jc w:val="both"/>
        <w:rPr>
          <w:sz w:val="20"/>
          <w:szCs w:val="20"/>
        </w:rPr>
      </w:pPr>
      <w:r w:rsidRPr="000646D1">
        <w:rPr>
          <w:sz w:val="20"/>
          <w:szCs w:val="20"/>
        </w:rPr>
        <w:t xml:space="preserve">Схема использует графический интерфейс </w:t>
      </w:r>
      <w:r w:rsidRPr="000646D1">
        <w:rPr>
          <w:sz w:val="20"/>
          <w:szCs w:val="20"/>
          <w:lang w:val="en-US"/>
        </w:rPr>
        <w:t>Model</w:t>
      </w:r>
      <w:r w:rsidRPr="000646D1">
        <w:rPr>
          <w:sz w:val="20"/>
          <w:szCs w:val="20"/>
        </w:rPr>
        <w:t xml:space="preserve"> </w:t>
      </w:r>
      <w:r w:rsidRPr="000646D1">
        <w:rPr>
          <w:sz w:val="20"/>
          <w:szCs w:val="20"/>
          <w:lang w:val="en-US"/>
        </w:rPr>
        <w:t>Builder</w:t>
      </w:r>
      <w:r w:rsidRPr="000646D1">
        <w:rPr>
          <w:sz w:val="20"/>
          <w:szCs w:val="20"/>
        </w:rPr>
        <w:t xml:space="preserve"> (</w:t>
      </w:r>
      <w:r w:rsidRPr="000646D1">
        <w:rPr>
          <w:sz w:val="20"/>
          <w:szCs w:val="20"/>
          <w:lang w:val="en-US"/>
        </w:rPr>
        <w:t>ESRI</w:t>
      </w:r>
      <w:r w:rsidRPr="000646D1">
        <w:rPr>
          <w:sz w:val="20"/>
          <w:szCs w:val="20"/>
        </w:rPr>
        <w:t>) [2], в котором прямоугольник означает данные, а эллипс</w:t>
      </w:r>
      <w:r w:rsidRPr="000646D1">
        <w:rPr>
          <w:bCs/>
          <w:sz w:val="20"/>
          <w:szCs w:val="20"/>
        </w:rPr>
        <w:t> </w:t>
      </w:r>
      <w:r w:rsidRPr="000646D1">
        <w:rPr>
          <w:bCs/>
          <w:sz w:val="20"/>
          <w:szCs w:val="18"/>
        </w:rPr>
        <w:t>―</w:t>
      </w:r>
      <w:r w:rsidRPr="000646D1">
        <w:rPr>
          <w:bCs/>
          <w:sz w:val="20"/>
          <w:szCs w:val="20"/>
        </w:rPr>
        <w:t> </w:t>
      </w:r>
      <w:r w:rsidRPr="000646D1">
        <w:rPr>
          <w:sz w:val="20"/>
          <w:szCs w:val="20"/>
        </w:rPr>
        <w:t>действия, производимые с данными по заданному алгоритму. На входе слева от эллипса</w:t>
      </w:r>
      <w:r w:rsidRPr="000646D1">
        <w:rPr>
          <w:bCs/>
          <w:sz w:val="20"/>
          <w:szCs w:val="20"/>
        </w:rPr>
        <w:t> </w:t>
      </w:r>
      <w:r w:rsidRPr="000646D1">
        <w:rPr>
          <w:bCs/>
          <w:sz w:val="20"/>
          <w:szCs w:val="18"/>
        </w:rPr>
        <w:t>―</w:t>
      </w:r>
      <w:r w:rsidRPr="000646D1">
        <w:rPr>
          <w:bCs/>
          <w:sz w:val="20"/>
          <w:szCs w:val="20"/>
        </w:rPr>
        <w:t> </w:t>
      </w:r>
      <w:r w:rsidRPr="000646D1">
        <w:rPr>
          <w:sz w:val="20"/>
          <w:szCs w:val="20"/>
        </w:rPr>
        <w:t>исходные данные, на выходе справа</w:t>
      </w:r>
      <w:r w:rsidRPr="000646D1">
        <w:rPr>
          <w:bCs/>
          <w:sz w:val="20"/>
          <w:szCs w:val="20"/>
        </w:rPr>
        <w:t> </w:t>
      </w:r>
      <w:r w:rsidRPr="000646D1">
        <w:rPr>
          <w:bCs/>
          <w:sz w:val="20"/>
          <w:szCs w:val="18"/>
        </w:rPr>
        <w:t>―</w:t>
      </w:r>
      <w:r w:rsidRPr="000646D1">
        <w:rPr>
          <w:bCs/>
          <w:sz w:val="20"/>
          <w:szCs w:val="20"/>
        </w:rPr>
        <w:t> </w:t>
      </w:r>
      <w:r>
        <w:rPr>
          <w:sz w:val="20"/>
          <w:szCs w:val="20"/>
        </w:rPr>
        <w:t>расчё</w:t>
      </w:r>
      <w:r w:rsidRPr="000646D1">
        <w:rPr>
          <w:sz w:val="20"/>
          <w:szCs w:val="20"/>
        </w:rPr>
        <w:t>тные данные. Модель реализована в геоинформационном проекте на основе пр</w:t>
      </w:r>
      <w:r w:rsidRPr="000646D1">
        <w:rPr>
          <w:sz w:val="20"/>
          <w:szCs w:val="20"/>
        </w:rPr>
        <w:t>о</w:t>
      </w:r>
      <w:r w:rsidRPr="000646D1">
        <w:rPr>
          <w:sz w:val="20"/>
          <w:szCs w:val="20"/>
        </w:rPr>
        <w:t xml:space="preserve">граммного обеспечения </w:t>
      </w:r>
      <w:r w:rsidRPr="000646D1">
        <w:rPr>
          <w:sz w:val="20"/>
          <w:szCs w:val="20"/>
          <w:lang w:val="en-US"/>
        </w:rPr>
        <w:t>ArcView</w:t>
      </w:r>
      <w:r w:rsidRPr="000646D1">
        <w:rPr>
          <w:sz w:val="20"/>
          <w:szCs w:val="20"/>
        </w:rPr>
        <w:t xml:space="preserve">, </w:t>
      </w:r>
      <w:r w:rsidRPr="000646D1">
        <w:rPr>
          <w:sz w:val="20"/>
          <w:szCs w:val="20"/>
          <w:lang w:val="en-US"/>
        </w:rPr>
        <w:t>Spatial</w:t>
      </w:r>
      <w:r w:rsidRPr="000646D1">
        <w:rPr>
          <w:sz w:val="20"/>
          <w:szCs w:val="20"/>
        </w:rPr>
        <w:t xml:space="preserve"> </w:t>
      </w:r>
      <w:r w:rsidRPr="000646D1">
        <w:rPr>
          <w:sz w:val="20"/>
          <w:szCs w:val="20"/>
          <w:lang w:val="en-US"/>
        </w:rPr>
        <w:t>Analyst</w:t>
      </w:r>
      <w:r w:rsidRPr="000646D1">
        <w:rPr>
          <w:sz w:val="20"/>
          <w:szCs w:val="20"/>
        </w:rPr>
        <w:t xml:space="preserve"> и дополнительных скриптов [3]. Зоны азимутальной несогласова</w:t>
      </w:r>
      <w:r w:rsidRPr="000646D1">
        <w:rPr>
          <w:sz w:val="20"/>
          <w:szCs w:val="20"/>
        </w:rPr>
        <w:t>н</w:t>
      </w:r>
      <w:r w:rsidRPr="000646D1">
        <w:rPr>
          <w:sz w:val="20"/>
          <w:szCs w:val="20"/>
        </w:rPr>
        <w:t>ности дифференцируются по 5 классам в зависимости от величины разницы (углов) между азимутальными напра</w:t>
      </w:r>
      <w:r w:rsidRPr="000646D1">
        <w:rPr>
          <w:sz w:val="20"/>
          <w:szCs w:val="20"/>
        </w:rPr>
        <w:t>в</w:t>
      </w:r>
      <w:r w:rsidRPr="000646D1">
        <w:rPr>
          <w:sz w:val="20"/>
          <w:szCs w:val="20"/>
        </w:rPr>
        <w:t xml:space="preserve">лениями по двум </w:t>
      </w:r>
      <w:r w:rsidRPr="000646D1">
        <w:rPr>
          <w:sz w:val="20"/>
          <w:szCs w:val="20"/>
          <w:lang w:val="en-US"/>
        </w:rPr>
        <w:t>GRID</w:t>
      </w:r>
      <w:r w:rsidRPr="000646D1">
        <w:rPr>
          <w:sz w:val="20"/>
          <w:szCs w:val="20"/>
        </w:rPr>
        <w:t xml:space="preserve"> экспозициям  поверхностей (таблица 1).</w:t>
      </w:r>
    </w:p>
    <w:p w:rsidR="0043644F" w:rsidRPr="00B3056A" w:rsidRDefault="0043644F" w:rsidP="0043644F">
      <w:pPr>
        <w:jc w:val="both"/>
        <w:rPr>
          <w:spacing w:val="-2"/>
          <w:sz w:val="20"/>
          <w:szCs w:val="20"/>
        </w:rPr>
      </w:pPr>
    </w:p>
    <w:p w:rsidR="0043644F" w:rsidRPr="00004A26" w:rsidRDefault="0043644F" w:rsidP="0043644F">
      <w:pPr>
        <w:jc w:val="both"/>
        <w:rPr>
          <w:b/>
          <w:sz w:val="18"/>
          <w:szCs w:val="18"/>
        </w:rPr>
      </w:pPr>
      <w:r w:rsidRPr="00004A26">
        <w:rPr>
          <w:sz w:val="18"/>
          <w:szCs w:val="18"/>
        </w:rPr>
        <w:t>Таблица</w:t>
      </w:r>
      <w:r w:rsidRPr="00004A26">
        <w:rPr>
          <w:sz w:val="18"/>
          <w:szCs w:val="18"/>
          <w:lang w:val="be-BY"/>
        </w:rPr>
        <w:t> </w:t>
      </w:r>
      <w:r w:rsidRPr="00004A26">
        <w:rPr>
          <w:sz w:val="18"/>
          <w:szCs w:val="18"/>
        </w:rPr>
        <w:t>1</w:t>
      </w:r>
      <w:r w:rsidRPr="00004A26">
        <w:rPr>
          <w:sz w:val="18"/>
          <w:szCs w:val="18"/>
          <w:lang w:val="be-BY"/>
        </w:rPr>
        <w:t> </w:t>
      </w:r>
      <w:r w:rsidRPr="00004A26">
        <w:rPr>
          <w:color w:val="000000"/>
          <w:sz w:val="18"/>
          <w:szCs w:val="18"/>
          <w:lang w:val="be-BY"/>
        </w:rPr>
        <w:t>―</w:t>
      </w:r>
      <w:r w:rsidRPr="00004A26">
        <w:rPr>
          <w:sz w:val="18"/>
          <w:szCs w:val="18"/>
          <w:lang w:val="be-BY"/>
        </w:rPr>
        <w:t> </w:t>
      </w:r>
      <w:r w:rsidRPr="00004A26">
        <w:rPr>
          <w:b/>
          <w:sz w:val="18"/>
          <w:szCs w:val="18"/>
        </w:rPr>
        <w:t>Классы азимутальной рассогласованности</w:t>
      </w:r>
    </w:p>
    <w:p w:rsidR="0043644F" w:rsidRPr="00004A26" w:rsidRDefault="0043644F" w:rsidP="0043644F">
      <w:pPr>
        <w:jc w:val="both"/>
        <w:rPr>
          <w:spacing w:val="-2"/>
          <w:sz w:val="16"/>
          <w:szCs w:val="16"/>
        </w:rPr>
      </w:pP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2"/>
        <w:gridCol w:w="6097"/>
      </w:tblGrid>
      <w:tr w:rsidR="0043644F" w:rsidRPr="00004A26" w:rsidTr="00DB681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bCs/>
                <w:sz w:val="18"/>
                <w:szCs w:val="20"/>
              </w:rPr>
            </w:pPr>
            <w:r w:rsidRPr="00004A26">
              <w:rPr>
                <w:bCs/>
                <w:sz w:val="18"/>
                <w:szCs w:val="20"/>
              </w:rPr>
              <w:t>Класс несогласованности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bCs/>
                <w:sz w:val="18"/>
                <w:szCs w:val="20"/>
              </w:rPr>
            </w:pPr>
            <w:r w:rsidRPr="00004A26">
              <w:rPr>
                <w:bCs/>
                <w:sz w:val="18"/>
                <w:szCs w:val="20"/>
              </w:rPr>
              <w:t>Углы рассогласования азимутов, градусы</w:t>
            </w:r>
          </w:p>
        </w:tc>
      </w:tr>
      <w:tr w:rsidR="0043644F" w:rsidRPr="00004A26" w:rsidTr="00DB681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ind w:firstLine="176"/>
              <w:jc w:val="center"/>
              <w:rPr>
                <w:sz w:val="18"/>
                <w:szCs w:val="20"/>
                <w:lang w:val="be-BY"/>
              </w:rPr>
            </w:pPr>
            <w:r w:rsidRPr="00004A26">
              <w:rPr>
                <w:color w:val="000000"/>
                <w:sz w:val="18"/>
                <w:szCs w:val="18"/>
                <w:lang w:val="be-BY"/>
              </w:rPr>
              <w:t>―</w:t>
            </w:r>
            <w:r w:rsidRPr="00004A26">
              <w:rPr>
                <w:sz w:val="18"/>
                <w:szCs w:val="20"/>
              </w:rPr>
              <w:t xml:space="preserve">30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30 и 150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180</w:t>
            </w:r>
          </w:p>
        </w:tc>
      </w:tr>
      <w:tr w:rsidR="0043644F" w:rsidRPr="00004A26" w:rsidTr="00DB6818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ind w:firstLine="176"/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  <w:lang w:val="be-BY"/>
              </w:rPr>
              <w:t xml:space="preserve">    </w:t>
            </w:r>
            <w:r w:rsidRPr="00004A26">
              <w:rPr>
                <w:sz w:val="18"/>
                <w:szCs w:val="20"/>
              </w:rPr>
              <w:t xml:space="preserve">30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45 и 135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150</w:t>
            </w:r>
          </w:p>
        </w:tc>
      </w:tr>
      <w:tr w:rsidR="0043644F" w:rsidRPr="00004A26" w:rsidTr="00DB681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ind w:firstLine="176"/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  <w:lang w:val="be-BY"/>
              </w:rPr>
              <w:t xml:space="preserve">    </w:t>
            </w:r>
            <w:r w:rsidRPr="00004A26">
              <w:rPr>
                <w:sz w:val="18"/>
                <w:szCs w:val="20"/>
              </w:rPr>
              <w:t xml:space="preserve">45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60 и 120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135</w:t>
            </w:r>
          </w:p>
        </w:tc>
      </w:tr>
      <w:tr w:rsidR="0043644F" w:rsidRPr="00004A26" w:rsidTr="00DB6818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ind w:firstLine="176"/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  <w:lang w:val="be-BY"/>
              </w:rPr>
              <w:t xml:space="preserve">    </w:t>
            </w:r>
            <w:r w:rsidRPr="00004A26">
              <w:rPr>
                <w:sz w:val="18"/>
                <w:szCs w:val="20"/>
              </w:rPr>
              <w:t xml:space="preserve">60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75 и 105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120</w:t>
            </w:r>
          </w:p>
        </w:tc>
      </w:tr>
      <w:tr w:rsidR="0043644F" w:rsidRPr="00004A26" w:rsidTr="00DB6818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004A26" w:rsidRDefault="0043644F" w:rsidP="00DB6818">
            <w:pPr>
              <w:ind w:firstLine="176"/>
              <w:jc w:val="center"/>
              <w:rPr>
                <w:sz w:val="18"/>
                <w:szCs w:val="20"/>
              </w:rPr>
            </w:pPr>
            <w:r w:rsidRPr="00004A26">
              <w:rPr>
                <w:sz w:val="18"/>
                <w:szCs w:val="20"/>
                <w:lang w:val="be-BY"/>
              </w:rPr>
              <w:t xml:space="preserve">  </w:t>
            </w:r>
            <w:r w:rsidRPr="00004A26">
              <w:rPr>
                <w:sz w:val="18"/>
                <w:szCs w:val="20"/>
              </w:rPr>
              <w:t xml:space="preserve">75 &lt; </w:t>
            </w:r>
            <w:r w:rsidRPr="00004A26">
              <w:rPr>
                <w:sz w:val="18"/>
                <w:szCs w:val="20"/>
              </w:rPr>
              <w:sym w:font="Symbol" w:char="0061"/>
            </w:r>
            <w:r w:rsidRPr="00004A26">
              <w:rPr>
                <w:sz w:val="18"/>
                <w:szCs w:val="20"/>
              </w:rPr>
              <w:t xml:space="preserve"> &gt; 105</w:t>
            </w:r>
          </w:p>
        </w:tc>
      </w:tr>
    </w:tbl>
    <w:p w:rsidR="0043644F" w:rsidRPr="00974039" w:rsidRDefault="0043644F" w:rsidP="0043644F">
      <w:pPr>
        <w:jc w:val="both"/>
        <w:rPr>
          <w:spacing w:val="-2"/>
          <w:sz w:val="20"/>
          <w:szCs w:val="20"/>
        </w:rPr>
      </w:pPr>
    </w:p>
    <w:p w:rsidR="0043644F" w:rsidRPr="000646D1" w:rsidRDefault="0043644F" w:rsidP="0043644F">
      <w:pPr>
        <w:ind w:firstLine="340"/>
        <w:jc w:val="both"/>
        <w:rPr>
          <w:bCs/>
          <w:sz w:val="20"/>
          <w:szCs w:val="20"/>
        </w:rPr>
      </w:pPr>
      <w:r w:rsidRPr="000646D1">
        <w:rPr>
          <w:sz w:val="20"/>
          <w:szCs w:val="20"/>
        </w:rPr>
        <w:t>В северо-западной части рассматриваемой территории выделяется крупная зона несогласованности с классом 4</w:t>
      </w:r>
      <w:r w:rsidRPr="000646D1">
        <w:rPr>
          <w:bCs/>
          <w:color w:val="000000"/>
          <w:sz w:val="20"/>
          <w:szCs w:val="18"/>
          <w:lang w:val="be-BY"/>
        </w:rPr>
        <w:t>―</w:t>
      </w:r>
      <w:r w:rsidRPr="000646D1">
        <w:rPr>
          <w:sz w:val="20"/>
          <w:szCs w:val="20"/>
        </w:rPr>
        <w:t>5. По данным таблицы 2, в этой зоне средние значения и стандартные отклонения уклонов превышают анал</w:t>
      </w:r>
      <w:r w:rsidRPr="000646D1">
        <w:rPr>
          <w:sz w:val="20"/>
          <w:szCs w:val="20"/>
        </w:rPr>
        <w:t>о</w:t>
      </w:r>
      <w:r w:rsidRPr="000646D1">
        <w:rPr>
          <w:sz w:val="20"/>
          <w:szCs w:val="20"/>
        </w:rPr>
        <w:t>гичные показатели всей картографируемой территории по всем опорным горизонтам, за исключением девона. Сл</w:t>
      </w:r>
      <w:r w:rsidRPr="000646D1">
        <w:rPr>
          <w:sz w:val="20"/>
          <w:szCs w:val="20"/>
        </w:rPr>
        <w:t>е</w:t>
      </w:r>
      <w:r w:rsidRPr="000646D1">
        <w:rPr>
          <w:sz w:val="20"/>
          <w:szCs w:val="20"/>
        </w:rPr>
        <w:t xml:space="preserve">довательно, </w:t>
      </w:r>
      <w:r w:rsidRPr="000646D1">
        <w:rPr>
          <w:bCs/>
          <w:sz w:val="20"/>
          <w:szCs w:val="20"/>
        </w:rPr>
        <w:t>в северо-западной части исследуемой территории фиксируется устойчивая по разрезу (во времени) зона рассогласованности структурных планов. Эта зона рассогласованности может быть сопоставлена со структурно-вещественными неоднородностями кристаллического фундамента: с верхнепротерозойскими габбро-долеритами, локализованными вблизи структурно-фациальной границы, разделяющей Щучинскую гранулитовую зону и Во</w:t>
      </w:r>
      <w:r w:rsidRPr="000646D1">
        <w:rPr>
          <w:bCs/>
          <w:sz w:val="20"/>
          <w:szCs w:val="20"/>
        </w:rPr>
        <w:t>с</w:t>
      </w:r>
      <w:r w:rsidRPr="000646D1">
        <w:rPr>
          <w:bCs/>
          <w:sz w:val="20"/>
          <w:szCs w:val="20"/>
        </w:rPr>
        <w:t xml:space="preserve">точно-Лидскую </w:t>
      </w:r>
      <w:r w:rsidRPr="000646D1">
        <w:rPr>
          <w:bCs/>
          <w:sz w:val="20"/>
          <w:szCs w:val="20"/>
        </w:rPr>
        <w:lastRenderedPageBreak/>
        <w:t>гранитогнейсовую зону. Зона рассогласованности может отвечать концентрации повышенных н</w:t>
      </w:r>
      <w:r w:rsidRPr="000646D1">
        <w:rPr>
          <w:bCs/>
          <w:sz w:val="20"/>
          <w:szCs w:val="20"/>
        </w:rPr>
        <w:t>а</w:t>
      </w:r>
      <w:r w:rsidRPr="000646D1">
        <w:rPr>
          <w:bCs/>
          <w:sz w:val="20"/>
          <w:szCs w:val="20"/>
        </w:rPr>
        <w:t>пряжений, разрядка которых приведет к пониженной устойчивости и п</w:t>
      </w:r>
      <w:r w:rsidRPr="000646D1">
        <w:rPr>
          <w:bCs/>
          <w:sz w:val="20"/>
          <w:szCs w:val="20"/>
        </w:rPr>
        <w:t>о</w:t>
      </w:r>
      <w:r w:rsidRPr="000646D1">
        <w:rPr>
          <w:bCs/>
          <w:sz w:val="20"/>
          <w:szCs w:val="20"/>
        </w:rPr>
        <w:t xml:space="preserve">вышенной трещиноватости горных пород. </w:t>
      </w:r>
    </w:p>
    <w:p w:rsidR="0043644F" w:rsidRPr="000646D1" w:rsidRDefault="0043644F" w:rsidP="0043644F">
      <w:pPr>
        <w:ind w:firstLine="340"/>
        <w:jc w:val="both"/>
        <w:rPr>
          <w:bCs/>
          <w:sz w:val="20"/>
          <w:szCs w:val="20"/>
        </w:rPr>
      </w:pPr>
      <w:r w:rsidRPr="000646D1">
        <w:rPr>
          <w:bCs/>
          <w:sz w:val="20"/>
          <w:szCs w:val="20"/>
        </w:rPr>
        <w:t>Вместе с тем, анализ взаимосвязи зон азимутальной рассогласованности с выделенными на исследуемой терр</w:t>
      </w:r>
      <w:r w:rsidRPr="000646D1">
        <w:rPr>
          <w:bCs/>
          <w:sz w:val="20"/>
          <w:szCs w:val="20"/>
        </w:rPr>
        <w:t>и</w:t>
      </w:r>
      <w:r w:rsidRPr="000646D1">
        <w:rPr>
          <w:bCs/>
          <w:sz w:val="20"/>
          <w:szCs w:val="20"/>
        </w:rPr>
        <w:t>тории разломами в кристаллическом фундаменте показывает, что зоны разломов фундамента, не проявляю</w:t>
      </w:r>
      <w:r w:rsidRPr="000646D1">
        <w:rPr>
          <w:bCs/>
          <w:sz w:val="20"/>
          <w:szCs w:val="20"/>
        </w:rPr>
        <w:t>т</w:t>
      </w:r>
      <w:r w:rsidRPr="000646D1">
        <w:rPr>
          <w:bCs/>
          <w:sz w:val="20"/>
          <w:szCs w:val="20"/>
        </w:rPr>
        <w:t>ся в полях рассогласованности структурных планов исследуемой территории ни по направлению, ни по площадному распространению последних. Следовательно, древние разломы в неотектоническом поле напр</w:t>
      </w:r>
      <w:r w:rsidRPr="000646D1">
        <w:rPr>
          <w:bCs/>
          <w:sz w:val="20"/>
          <w:szCs w:val="20"/>
        </w:rPr>
        <w:t>я</w:t>
      </w:r>
      <w:r w:rsidRPr="000646D1">
        <w:rPr>
          <w:bCs/>
          <w:sz w:val="20"/>
          <w:szCs w:val="20"/>
        </w:rPr>
        <w:t>жений не активны. Эти зоны также не связаны с возможными подвижками блоков кристаллического фунд</w:t>
      </w:r>
      <w:r w:rsidRPr="000646D1">
        <w:rPr>
          <w:bCs/>
          <w:sz w:val="20"/>
          <w:szCs w:val="20"/>
        </w:rPr>
        <w:t>а</w:t>
      </w:r>
      <w:r w:rsidRPr="000646D1">
        <w:rPr>
          <w:bCs/>
          <w:sz w:val="20"/>
          <w:szCs w:val="20"/>
        </w:rPr>
        <w:t xml:space="preserve">мента. </w:t>
      </w:r>
    </w:p>
    <w:p w:rsidR="0043644F" w:rsidRDefault="0043644F" w:rsidP="0043644F">
      <w:pPr>
        <w:jc w:val="both"/>
        <w:rPr>
          <w:spacing w:val="-2"/>
          <w:sz w:val="18"/>
          <w:szCs w:val="18"/>
        </w:rPr>
      </w:pPr>
    </w:p>
    <w:p w:rsidR="0043644F" w:rsidRPr="00676496" w:rsidRDefault="0043644F" w:rsidP="0043644F">
      <w:pPr>
        <w:jc w:val="both"/>
        <w:rPr>
          <w:spacing w:val="-2"/>
          <w:sz w:val="18"/>
          <w:szCs w:val="18"/>
        </w:rPr>
      </w:pPr>
      <w:r w:rsidRPr="00676496">
        <w:rPr>
          <w:spacing w:val="-2"/>
          <w:sz w:val="18"/>
          <w:szCs w:val="18"/>
        </w:rPr>
        <w:t>Таблица 2 </w:t>
      </w:r>
      <w:r w:rsidRPr="00676496">
        <w:rPr>
          <w:color w:val="000000"/>
          <w:spacing w:val="-2"/>
          <w:sz w:val="18"/>
          <w:szCs w:val="18"/>
        </w:rPr>
        <w:t>―</w:t>
      </w:r>
      <w:r w:rsidRPr="00676496">
        <w:rPr>
          <w:spacing w:val="-2"/>
          <w:sz w:val="18"/>
          <w:szCs w:val="18"/>
        </w:rPr>
        <w:t> </w:t>
      </w:r>
      <w:r w:rsidRPr="00676496">
        <w:rPr>
          <w:b/>
          <w:spacing w:val="-2"/>
          <w:sz w:val="18"/>
          <w:szCs w:val="18"/>
        </w:rPr>
        <w:t>Результаты геостатистического анализа данных по профилям</w:t>
      </w:r>
    </w:p>
    <w:p w:rsidR="0043644F" w:rsidRPr="00E9575D" w:rsidRDefault="0043644F" w:rsidP="0043644F">
      <w:pPr>
        <w:jc w:val="both"/>
        <w:rPr>
          <w:spacing w:val="-2"/>
          <w:sz w:val="16"/>
          <w:szCs w:val="16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0"/>
        <w:gridCol w:w="1214"/>
        <w:gridCol w:w="1054"/>
        <w:gridCol w:w="1417"/>
        <w:gridCol w:w="1418"/>
        <w:gridCol w:w="992"/>
        <w:gridCol w:w="992"/>
        <w:gridCol w:w="1184"/>
      </w:tblGrid>
      <w:tr w:rsidR="0043644F" w:rsidRPr="003A05FA" w:rsidTr="00DB6818">
        <w:trPr>
          <w:trHeight w:val="22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3A05FA">
              <w:rPr>
                <w:spacing w:val="-2"/>
                <w:sz w:val="16"/>
                <w:szCs w:val="16"/>
              </w:rPr>
              <w:t>Объект ЦМР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Геостатистические показатели по уклонам (градусы)</w:t>
            </w:r>
          </w:p>
        </w:tc>
      </w:tr>
      <w:tr w:rsidR="0043644F" w:rsidRPr="003A05FA" w:rsidTr="00DB6818">
        <w:trPr>
          <w:trHeight w:val="213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ind w:left="-108"/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В целом по рассматриваемому ра</w:t>
            </w:r>
            <w:r w:rsidRPr="003A05FA">
              <w:rPr>
                <w:spacing w:val="-2"/>
                <w:sz w:val="16"/>
                <w:szCs w:val="16"/>
              </w:rPr>
              <w:t>й</w:t>
            </w:r>
            <w:r w:rsidRPr="003A05FA">
              <w:rPr>
                <w:spacing w:val="-2"/>
                <w:sz w:val="16"/>
                <w:szCs w:val="16"/>
              </w:rPr>
              <w:t xml:space="preserve">ону 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S</w:t>
            </w:r>
            <w:r w:rsidRPr="003A05FA">
              <w:rPr>
                <w:spacing w:val="-2"/>
                <w:sz w:val="16"/>
                <w:szCs w:val="16"/>
                <w:lang w:val="be-BY"/>
              </w:rPr>
              <w:t> </w:t>
            </w:r>
            <w:r w:rsidRPr="003A05FA">
              <w:rPr>
                <w:spacing w:val="-2"/>
                <w:sz w:val="16"/>
                <w:szCs w:val="16"/>
              </w:rPr>
              <w:t>=</w:t>
            </w:r>
            <w:r w:rsidRPr="003A05FA">
              <w:rPr>
                <w:spacing w:val="-2"/>
                <w:sz w:val="16"/>
                <w:szCs w:val="16"/>
                <w:lang w:val="be-BY"/>
              </w:rPr>
              <w:t> </w:t>
            </w:r>
            <w:r w:rsidRPr="003A05FA">
              <w:rPr>
                <w:spacing w:val="-2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 </w:t>
            </w:r>
            <w:r w:rsidRPr="003A05FA">
              <w:rPr>
                <w:spacing w:val="-2"/>
                <w:sz w:val="16"/>
                <w:szCs w:val="16"/>
              </w:rPr>
              <w:t>962,5 км</w:t>
            </w:r>
            <w:r w:rsidRPr="003A05FA">
              <w:rPr>
                <w:spacing w:val="-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 xml:space="preserve">В пределах зоны несогласия 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S</w:t>
            </w:r>
            <w:r w:rsidRPr="003A05FA">
              <w:rPr>
                <w:spacing w:val="-2"/>
                <w:sz w:val="16"/>
                <w:szCs w:val="16"/>
              </w:rPr>
              <w:t xml:space="preserve"> = 24 км</w:t>
            </w:r>
            <w:r w:rsidRPr="003A05FA">
              <w:rPr>
                <w:spacing w:val="-2"/>
                <w:sz w:val="16"/>
                <w:szCs w:val="16"/>
                <w:vertAlign w:val="superscript"/>
              </w:rPr>
              <w:t>2</w:t>
            </w:r>
          </w:p>
        </w:tc>
      </w:tr>
      <w:tr w:rsidR="0043644F" w:rsidRPr="003A05FA" w:rsidTr="00DB6818">
        <w:trPr>
          <w:trHeight w:val="173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ind w:right="-108"/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Макс</w:t>
            </w:r>
            <w:r w:rsidRPr="003A05FA">
              <w:rPr>
                <w:spacing w:val="-2"/>
                <w:sz w:val="16"/>
                <w:szCs w:val="16"/>
              </w:rPr>
              <w:t>и</w:t>
            </w:r>
            <w:r w:rsidRPr="003A05FA">
              <w:rPr>
                <w:spacing w:val="-2"/>
                <w:sz w:val="16"/>
                <w:szCs w:val="16"/>
              </w:rPr>
              <w:t>мум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Станд. откл.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Номер пр</w:t>
            </w:r>
            <w:r w:rsidRPr="003A05FA">
              <w:rPr>
                <w:spacing w:val="-2"/>
                <w:sz w:val="16"/>
                <w:szCs w:val="16"/>
              </w:rPr>
              <w:t>о</w:t>
            </w:r>
            <w:r w:rsidRPr="003A05FA">
              <w:rPr>
                <w:spacing w:val="-2"/>
                <w:sz w:val="16"/>
                <w:szCs w:val="16"/>
              </w:rPr>
              <w:t>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</w:t>
            </w:r>
            <w:r w:rsidRPr="003A05FA">
              <w:rPr>
                <w:spacing w:val="-2"/>
                <w:sz w:val="16"/>
                <w:szCs w:val="16"/>
              </w:rPr>
              <w:t>д</w:t>
            </w:r>
            <w:r w:rsidRPr="003A05FA">
              <w:rPr>
                <w:spacing w:val="-2"/>
                <w:sz w:val="16"/>
                <w:szCs w:val="16"/>
              </w:rPr>
              <w:t>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Макс</w:t>
            </w:r>
            <w:r w:rsidRPr="003A05FA">
              <w:rPr>
                <w:spacing w:val="-2"/>
                <w:sz w:val="16"/>
                <w:szCs w:val="16"/>
              </w:rPr>
              <w:t>и</w:t>
            </w:r>
            <w:r w:rsidRPr="003A05FA">
              <w:rPr>
                <w:spacing w:val="-2"/>
                <w:sz w:val="16"/>
                <w:szCs w:val="16"/>
              </w:rPr>
              <w:t>мум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Станд. откл.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DF3231" w:rsidRDefault="0043644F" w:rsidP="00DB6818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Кровля</w:t>
            </w:r>
          </w:p>
          <w:p w:rsidR="0043644F" w:rsidRPr="003A05FA" w:rsidRDefault="0043644F" w:rsidP="00DB6818">
            <w:pPr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кристалл</w:t>
            </w:r>
            <w:r w:rsidRPr="00DF3231">
              <w:rPr>
                <w:spacing w:val="-2"/>
                <w:sz w:val="16"/>
                <w:szCs w:val="16"/>
              </w:rPr>
              <w:t>ического</w:t>
            </w:r>
            <w:r w:rsidRPr="003A05FA">
              <w:rPr>
                <w:spacing w:val="-2"/>
                <w:sz w:val="16"/>
                <w:szCs w:val="16"/>
              </w:rPr>
              <w:t xml:space="preserve"> фу</w:t>
            </w:r>
            <w:r w:rsidRPr="003A05FA">
              <w:rPr>
                <w:spacing w:val="-2"/>
                <w:sz w:val="16"/>
                <w:szCs w:val="16"/>
              </w:rPr>
              <w:t>н</w:t>
            </w:r>
            <w:r w:rsidRPr="003A05FA">
              <w:rPr>
                <w:spacing w:val="-2"/>
                <w:sz w:val="16"/>
                <w:szCs w:val="16"/>
              </w:rPr>
              <w:t>дамента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0,17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9,04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 по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2,73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0,19</w:t>
            </w:r>
          </w:p>
        </w:tc>
      </w:tr>
      <w:tr w:rsidR="0043644F" w:rsidRPr="003A05FA" w:rsidTr="00DB6818">
        <w:trPr>
          <w:trHeight w:val="7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0,33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0,11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Кровля</w:t>
            </w:r>
            <w:r w:rsidRPr="003A05FA">
              <w:rPr>
                <w:spacing w:val="-2"/>
                <w:sz w:val="16"/>
                <w:szCs w:val="16"/>
                <w:lang w:val="be-BY"/>
              </w:rPr>
              <w:t xml:space="preserve"> </w:t>
            </w:r>
            <w:r w:rsidRPr="003A05FA">
              <w:rPr>
                <w:spacing w:val="-2"/>
                <w:sz w:val="16"/>
                <w:szCs w:val="16"/>
              </w:rPr>
              <w:t>ордовика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0,19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3,02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 по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0,02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0,02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Кровля</w:t>
            </w:r>
            <w:r w:rsidRPr="003A05FA">
              <w:rPr>
                <w:spacing w:val="-2"/>
                <w:sz w:val="16"/>
                <w:szCs w:val="16"/>
                <w:lang w:val="be-BY"/>
              </w:rPr>
              <w:t xml:space="preserve"> </w:t>
            </w:r>
            <w:r w:rsidRPr="003A05FA">
              <w:rPr>
                <w:spacing w:val="-2"/>
                <w:sz w:val="16"/>
                <w:szCs w:val="16"/>
              </w:rPr>
              <w:t>силура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3A05FA">
              <w:rPr>
                <w:spacing w:val="-2"/>
                <w:sz w:val="16"/>
                <w:szCs w:val="16"/>
                <w:lang w:val="en-US"/>
              </w:rPr>
              <w:t>0</w:t>
            </w:r>
            <w:r w:rsidRPr="003A05FA">
              <w:rPr>
                <w:spacing w:val="-2"/>
                <w:sz w:val="16"/>
                <w:szCs w:val="16"/>
              </w:rPr>
              <w:t>,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16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3A05FA">
              <w:rPr>
                <w:spacing w:val="-2"/>
                <w:sz w:val="16"/>
                <w:szCs w:val="16"/>
                <w:lang w:val="en-US"/>
              </w:rPr>
              <w:t>3</w:t>
            </w:r>
            <w:r w:rsidRPr="003A05FA">
              <w:rPr>
                <w:spacing w:val="-2"/>
                <w:sz w:val="16"/>
                <w:szCs w:val="16"/>
              </w:rPr>
              <w:t>,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3A05FA">
              <w:rPr>
                <w:spacing w:val="-2"/>
                <w:sz w:val="16"/>
                <w:szCs w:val="16"/>
                <w:lang w:val="en-US"/>
              </w:rPr>
              <w:t>0</w:t>
            </w:r>
            <w:r w:rsidRPr="003A05FA">
              <w:rPr>
                <w:spacing w:val="-2"/>
                <w:sz w:val="16"/>
                <w:szCs w:val="16"/>
              </w:rPr>
              <w:t>,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 по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0,02</w:t>
            </w:r>
          </w:p>
        </w:tc>
      </w:tr>
      <w:tr w:rsidR="0043644F" w:rsidRPr="003A05FA" w:rsidTr="00DB6818">
        <w:trPr>
          <w:trHeight w:val="7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0,05</w:t>
            </w:r>
          </w:p>
        </w:tc>
      </w:tr>
      <w:tr w:rsidR="0043644F" w:rsidRPr="003A05FA" w:rsidTr="00DB6818">
        <w:trPr>
          <w:trHeight w:val="7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0,03</w:t>
            </w:r>
          </w:p>
        </w:tc>
      </w:tr>
      <w:tr w:rsidR="0043644F" w:rsidRPr="003A05FA" w:rsidTr="00DB6818">
        <w:trPr>
          <w:trHeight w:val="7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Кровля</w:t>
            </w:r>
            <w:r w:rsidRPr="003A05FA">
              <w:rPr>
                <w:spacing w:val="-2"/>
                <w:sz w:val="16"/>
                <w:szCs w:val="16"/>
                <w:lang w:val="be-BY"/>
              </w:rPr>
              <w:t xml:space="preserve"> </w:t>
            </w:r>
            <w:r w:rsidRPr="003A05FA">
              <w:rPr>
                <w:spacing w:val="-2"/>
                <w:sz w:val="16"/>
                <w:szCs w:val="16"/>
              </w:rPr>
              <w:t>девона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3A05FA">
              <w:rPr>
                <w:spacing w:val="-2"/>
                <w:sz w:val="16"/>
                <w:szCs w:val="16"/>
                <w:lang w:val="en-US"/>
              </w:rPr>
              <w:t>0</w:t>
            </w:r>
            <w:r w:rsidRPr="003A05FA">
              <w:rPr>
                <w:spacing w:val="-2"/>
                <w:sz w:val="16"/>
                <w:szCs w:val="16"/>
              </w:rPr>
              <w:t>,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08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3A05FA">
              <w:rPr>
                <w:spacing w:val="-2"/>
                <w:sz w:val="16"/>
                <w:szCs w:val="16"/>
                <w:lang w:val="en-US"/>
              </w:rPr>
              <w:t>0</w:t>
            </w:r>
            <w:r w:rsidRPr="003A05FA">
              <w:rPr>
                <w:spacing w:val="-2"/>
                <w:sz w:val="16"/>
                <w:szCs w:val="16"/>
              </w:rPr>
              <w:t>,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46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3A05FA">
              <w:rPr>
                <w:spacing w:val="-2"/>
                <w:sz w:val="16"/>
                <w:szCs w:val="16"/>
                <w:lang w:val="en-US"/>
              </w:rPr>
              <w:t>0</w:t>
            </w:r>
            <w:r w:rsidRPr="003A05FA">
              <w:rPr>
                <w:spacing w:val="-2"/>
                <w:sz w:val="16"/>
                <w:szCs w:val="16"/>
              </w:rPr>
              <w:t>,</w:t>
            </w:r>
            <w:r w:rsidRPr="003A05FA">
              <w:rPr>
                <w:spacing w:val="-2"/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</w:t>
            </w:r>
            <w:r w:rsidRPr="003A05FA">
              <w:rPr>
                <w:spacing w:val="-2"/>
                <w:sz w:val="16"/>
                <w:szCs w:val="16"/>
                <w:lang w:val="be-BY"/>
              </w:rPr>
              <w:t xml:space="preserve"> </w:t>
            </w:r>
            <w:r w:rsidRPr="003A05FA">
              <w:rPr>
                <w:spacing w:val="-2"/>
                <w:sz w:val="16"/>
                <w:szCs w:val="16"/>
              </w:rPr>
              <w:t>по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0,03</w:t>
            </w:r>
          </w:p>
        </w:tc>
      </w:tr>
      <w:tr w:rsidR="0043644F" w:rsidRPr="003A05FA" w:rsidTr="00DB6818">
        <w:trPr>
          <w:trHeight w:val="121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0,09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0,02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Подошва четвертве</w:t>
            </w:r>
            <w:r w:rsidRPr="003A05FA">
              <w:rPr>
                <w:spacing w:val="-2"/>
                <w:sz w:val="16"/>
                <w:szCs w:val="16"/>
              </w:rPr>
              <w:t>р</w:t>
            </w:r>
            <w:r w:rsidRPr="003A05FA">
              <w:rPr>
                <w:spacing w:val="-2"/>
                <w:sz w:val="16"/>
                <w:szCs w:val="16"/>
              </w:rPr>
              <w:t>тичных отлож</w:t>
            </w:r>
            <w:r w:rsidRPr="003A05FA">
              <w:rPr>
                <w:spacing w:val="-2"/>
                <w:sz w:val="16"/>
                <w:szCs w:val="16"/>
              </w:rPr>
              <w:t>е</w:t>
            </w:r>
            <w:r w:rsidRPr="003A05FA">
              <w:rPr>
                <w:spacing w:val="-2"/>
                <w:sz w:val="16"/>
                <w:szCs w:val="16"/>
              </w:rPr>
              <w:t>ний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0,10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5,54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 по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0,20</w:t>
            </w:r>
          </w:p>
        </w:tc>
      </w:tr>
      <w:tr w:rsidR="0043644F" w:rsidRPr="003A05FA" w:rsidTr="00DB6818">
        <w:trPr>
          <w:trHeight w:val="7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0,11</w:t>
            </w:r>
          </w:p>
        </w:tc>
      </w:tr>
      <w:tr w:rsidR="0043644F" w:rsidRPr="003A05FA" w:rsidTr="00DB6818">
        <w:trPr>
          <w:trHeight w:val="7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0,23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Земная повер</w:t>
            </w:r>
            <w:r w:rsidRPr="003A05FA">
              <w:rPr>
                <w:spacing w:val="-2"/>
                <w:sz w:val="16"/>
                <w:szCs w:val="16"/>
              </w:rPr>
              <w:t>х</w:t>
            </w:r>
            <w:r w:rsidRPr="003A05FA">
              <w:rPr>
                <w:spacing w:val="-2"/>
                <w:sz w:val="16"/>
                <w:szCs w:val="16"/>
              </w:rPr>
              <w:t>ность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1,32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49,35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Среднее по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676496">
              <w:rPr>
                <w:spacing w:val="-2"/>
                <w:sz w:val="16"/>
                <w:szCs w:val="16"/>
              </w:rPr>
              <w:t>4</w:t>
            </w:r>
            <w:r w:rsidRPr="003A05FA">
              <w:rPr>
                <w:spacing w:val="-2"/>
                <w:sz w:val="16"/>
                <w:szCs w:val="16"/>
              </w:rPr>
              <w:t>7,02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1,79</w:t>
            </w:r>
          </w:p>
        </w:tc>
      </w:tr>
      <w:tr w:rsidR="0043644F" w:rsidRPr="003A05FA" w:rsidTr="00DB6818">
        <w:trPr>
          <w:trHeight w:val="2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both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3A05FA">
              <w:rPr>
                <w:spacing w:val="-2"/>
                <w:sz w:val="16"/>
                <w:szCs w:val="16"/>
              </w:rPr>
              <w:t>22,59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3A05FA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3A05FA">
              <w:rPr>
                <w:bCs/>
                <w:spacing w:val="-2"/>
                <w:sz w:val="16"/>
                <w:szCs w:val="16"/>
              </w:rPr>
              <w:t>2,36</w:t>
            </w:r>
          </w:p>
        </w:tc>
      </w:tr>
      <w:tr w:rsidR="0043644F" w:rsidRPr="00612C6D" w:rsidTr="00DB6818">
        <w:trPr>
          <w:trHeight w:val="20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both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both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both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1071D5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1071D5">
              <w:rPr>
                <w:bCs/>
                <w:spacing w:val="-2"/>
                <w:sz w:val="16"/>
                <w:szCs w:val="16"/>
              </w:rPr>
              <w:t>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1071D5">
              <w:rPr>
                <w:spacing w:val="-2"/>
                <w:sz w:val="16"/>
                <w:szCs w:val="16"/>
              </w:rPr>
              <w:t>8,93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4F" w:rsidRPr="001071D5" w:rsidRDefault="0043644F" w:rsidP="00DB6818">
            <w:pPr>
              <w:jc w:val="center"/>
              <w:rPr>
                <w:spacing w:val="-2"/>
                <w:sz w:val="16"/>
                <w:szCs w:val="16"/>
              </w:rPr>
            </w:pPr>
            <w:r w:rsidRPr="001071D5">
              <w:rPr>
                <w:spacing w:val="-2"/>
                <w:sz w:val="16"/>
                <w:szCs w:val="16"/>
              </w:rPr>
              <w:t>1,60</w:t>
            </w:r>
          </w:p>
        </w:tc>
      </w:tr>
    </w:tbl>
    <w:p w:rsidR="0043644F" w:rsidRDefault="0043644F" w:rsidP="0043644F">
      <w:pPr>
        <w:jc w:val="both"/>
        <w:rPr>
          <w:sz w:val="20"/>
          <w:szCs w:val="20"/>
        </w:rPr>
      </w:pPr>
    </w:p>
    <w:p w:rsidR="0043644F" w:rsidRPr="000646D1" w:rsidRDefault="0043644F" w:rsidP="0043644F">
      <w:pPr>
        <w:ind w:firstLine="340"/>
        <w:jc w:val="both"/>
        <w:rPr>
          <w:bCs/>
          <w:sz w:val="20"/>
          <w:szCs w:val="20"/>
        </w:rPr>
      </w:pPr>
      <w:r w:rsidRPr="000646D1">
        <w:rPr>
          <w:bCs/>
          <w:sz w:val="20"/>
          <w:szCs w:val="20"/>
        </w:rPr>
        <w:t xml:space="preserve">Поскольку Свирско-Ошмянский район расположен </w:t>
      </w:r>
      <w:r w:rsidRPr="000646D1">
        <w:rPr>
          <w:sz w:val="20"/>
          <w:szCs w:val="20"/>
        </w:rPr>
        <w:t>к северо-западу от Волковысско-Лепельской буферной зоны или Черноморско-Балтийского водораздела на Гродно-Латгальском поднятии, являющимся элементом строения н</w:t>
      </w:r>
      <w:r w:rsidRPr="000646D1">
        <w:rPr>
          <w:sz w:val="20"/>
          <w:szCs w:val="20"/>
        </w:rPr>
        <w:t>е</w:t>
      </w:r>
      <w:r w:rsidRPr="000646D1">
        <w:rPr>
          <w:sz w:val="20"/>
          <w:szCs w:val="20"/>
        </w:rPr>
        <w:t xml:space="preserve">отектонических структур Восточно-Балтийской геодинамической системы, образование </w:t>
      </w:r>
      <w:r w:rsidRPr="000646D1">
        <w:rPr>
          <w:bCs/>
          <w:sz w:val="20"/>
          <w:szCs w:val="20"/>
        </w:rPr>
        <w:t>зон рассогласованности св</w:t>
      </w:r>
      <w:r w:rsidRPr="000646D1">
        <w:rPr>
          <w:bCs/>
          <w:sz w:val="20"/>
          <w:szCs w:val="20"/>
        </w:rPr>
        <w:t>я</w:t>
      </w:r>
      <w:r w:rsidRPr="000646D1">
        <w:rPr>
          <w:bCs/>
          <w:sz w:val="20"/>
          <w:szCs w:val="20"/>
        </w:rPr>
        <w:t>зано, скорее всего, с неотектоническими напряжениями, генерируемыми этой системой.</w:t>
      </w:r>
    </w:p>
    <w:p w:rsidR="0043644F" w:rsidRPr="000646D1" w:rsidRDefault="0043644F" w:rsidP="0043644F">
      <w:pPr>
        <w:jc w:val="both"/>
        <w:rPr>
          <w:sz w:val="20"/>
          <w:szCs w:val="20"/>
        </w:rPr>
      </w:pPr>
    </w:p>
    <w:p w:rsidR="0043644F" w:rsidRDefault="0043644F" w:rsidP="0043644F">
      <w:pPr>
        <w:jc w:val="center"/>
      </w:pPr>
      <w:r>
        <w:rPr>
          <w:noProof/>
        </w:rPr>
        <w:drawing>
          <wp:inline distT="0" distB="0" distL="0" distR="0">
            <wp:extent cx="3867150" cy="3248025"/>
            <wp:effectExtent l="19050" t="0" r="0" b="0"/>
            <wp:docPr id="1" name="Рисунок 1" descr="Резервная_копия_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ервная_копия_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44F" w:rsidRPr="00346904" w:rsidRDefault="0043644F" w:rsidP="0043644F">
      <w:pPr>
        <w:jc w:val="center"/>
        <w:rPr>
          <w:spacing w:val="-2"/>
          <w:sz w:val="18"/>
          <w:szCs w:val="18"/>
        </w:rPr>
      </w:pPr>
    </w:p>
    <w:p w:rsidR="0043644F" w:rsidRPr="000646D1" w:rsidRDefault="0043644F" w:rsidP="0043644F">
      <w:pPr>
        <w:jc w:val="center"/>
        <w:rPr>
          <w:sz w:val="18"/>
          <w:szCs w:val="18"/>
          <w:lang w:val="be-BY"/>
        </w:rPr>
      </w:pPr>
      <w:r w:rsidRPr="000646D1">
        <w:rPr>
          <w:sz w:val="18"/>
          <w:szCs w:val="18"/>
        </w:rPr>
        <w:t>Рисунок 1</w:t>
      </w:r>
      <w:r w:rsidRPr="000646D1">
        <w:rPr>
          <w:sz w:val="18"/>
          <w:szCs w:val="18"/>
          <w:lang w:val="be-BY"/>
        </w:rPr>
        <w:t> </w:t>
      </w:r>
      <w:r w:rsidRPr="000646D1">
        <w:rPr>
          <w:color w:val="000000"/>
          <w:sz w:val="18"/>
          <w:szCs w:val="18"/>
          <w:lang w:val="be-BY"/>
        </w:rPr>
        <w:t>―</w:t>
      </w:r>
      <w:r w:rsidRPr="000646D1">
        <w:rPr>
          <w:sz w:val="18"/>
          <w:szCs w:val="18"/>
          <w:lang w:val="be-BY"/>
        </w:rPr>
        <w:t> </w:t>
      </w:r>
      <w:r w:rsidRPr="000646D1">
        <w:rPr>
          <w:b/>
          <w:sz w:val="18"/>
          <w:szCs w:val="18"/>
        </w:rPr>
        <w:t>Логическая схема модели оценки азимутальной несогласованности</w:t>
      </w:r>
    </w:p>
    <w:p w:rsidR="0043644F" w:rsidRPr="00346904" w:rsidRDefault="0043644F" w:rsidP="0043644F">
      <w:pPr>
        <w:jc w:val="center"/>
        <w:rPr>
          <w:spacing w:val="-2"/>
          <w:sz w:val="18"/>
          <w:szCs w:val="18"/>
          <w:lang w:val="be-BY"/>
        </w:rPr>
      </w:pPr>
    </w:p>
    <w:p w:rsidR="0043644F" w:rsidRPr="00612C6D" w:rsidRDefault="0043644F" w:rsidP="0043644F">
      <w:pPr>
        <w:numPr>
          <w:ilvl w:val="0"/>
          <w:numId w:val="1"/>
        </w:numPr>
        <w:ind w:left="567" w:hanging="567"/>
        <w:jc w:val="both"/>
        <w:rPr>
          <w:spacing w:val="-2"/>
          <w:sz w:val="16"/>
          <w:szCs w:val="16"/>
        </w:rPr>
      </w:pPr>
      <w:r w:rsidRPr="00612C6D">
        <w:rPr>
          <w:i/>
          <w:spacing w:val="-2"/>
          <w:sz w:val="16"/>
          <w:szCs w:val="16"/>
        </w:rPr>
        <w:t>Юдахин Ю. </w:t>
      </w:r>
      <w:r>
        <w:rPr>
          <w:i/>
          <w:spacing w:val="-2"/>
          <w:sz w:val="16"/>
          <w:szCs w:val="16"/>
        </w:rPr>
        <w:t>Ф., </w:t>
      </w:r>
      <w:r w:rsidRPr="00612C6D">
        <w:rPr>
          <w:i/>
          <w:spacing w:val="-2"/>
          <w:sz w:val="16"/>
          <w:szCs w:val="16"/>
        </w:rPr>
        <w:t>Щукин Ю. К.,</w:t>
      </w:r>
      <w:r>
        <w:rPr>
          <w:i/>
          <w:spacing w:val="-2"/>
          <w:sz w:val="16"/>
          <w:szCs w:val="16"/>
        </w:rPr>
        <w:t> </w:t>
      </w:r>
      <w:r w:rsidRPr="00612C6D">
        <w:rPr>
          <w:i/>
          <w:spacing w:val="-2"/>
          <w:sz w:val="16"/>
          <w:szCs w:val="16"/>
        </w:rPr>
        <w:t>Макаров В. И.</w:t>
      </w:r>
      <w:r>
        <w:rPr>
          <w:spacing w:val="-2"/>
          <w:sz w:val="16"/>
          <w:szCs w:val="16"/>
        </w:rPr>
        <w:t> </w:t>
      </w:r>
      <w:r w:rsidRPr="00612C6D">
        <w:rPr>
          <w:spacing w:val="-2"/>
          <w:sz w:val="16"/>
          <w:szCs w:val="16"/>
        </w:rPr>
        <w:t>Глубинное строение и современные геодинамические процессы в литосфере Восто</w:t>
      </w:r>
      <w:r w:rsidRPr="00612C6D">
        <w:rPr>
          <w:spacing w:val="-2"/>
          <w:sz w:val="16"/>
          <w:szCs w:val="16"/>
        </w:rPr>
        <w:t>ч</w:t>
      </w:r>
      <w:r w:rsidRPr="00612C6D">
        <w:rPr>
          <w:spacing w:val="-2"/>
          <w:sz w:val="16"/>
          <w:szCs w:val="16"/>
        </w:rPr>
        <w:t>но-Европейской платформы. Екатеринбург: УрО РАН, 2003. 300 с.</w:t>
      </w:r>
    </w:p>
    <w:p w:rsidR="0043644F" w:rsidRPr="00612C6D" w:rsidRDefault="0043644F" w:rsidP="0043644F">
      <w:pPr>
        <w:numPr>
          <w:ilvl w:val="0"/>
          <w:numId w:val="1"/>
        </w:numPr>
        <w:ind w:left="567" w:hanging="567"/>
        <w:jc w:val="both"/>
        <w:rPr>
          <w:spacing w:val="-2"/>
          <w:sz w:val="16"/>
          <w:szCs w:val="16"/>
          <w:lang w:val="en-US"/>
        </w:rPr>
      </w:pPr>
      <w:bookmarkStart w:id="6" w:name="OLE_LINK13"/>
      <w:bookmarkStart w:id="7" w:name="OLE_LINK14"/>
      <w:r w:rsidRPr="00612C6D">
        <w:rPr>
          <w:i/>
          <w:spacing w:val="-2"/>
          <w:sz w:val="16"/>
          <w:szCs w:val="16"/>
          <w:lang w:val="en-US"/>
        </w:rPr>
        <w:lastRenderedPageBreak/>
        <w:t>Jenness</w:t>
      </w:r>
      <w:bookmarkEnd w:id="6"/>
      <w:bookmarkEnd w:id="7"/>
      <w:r w:rsidRPr="004F0D49">
        <w:rPr>
          <w:i/>
          <w:spacing w:val="-2"/>
          <w:sz w:val="16"/>
          <w:szCs w:val="16"/>
          <w:lang w:val="en-US"/>
        </w:rPr>
        <w:t> </w:t>
      </w:r>
      <w:r w:rsidRPr="00612C6D">
        <w:rPr>
          <w:i/>
          <w:spacing w:val="-2"/>
          <w:sz w:val="16"/>
          <w:szCs w:val="16"/>
          <w:lang w:val="en-US"/>
        </w:rPr>
        <w:t xml:space="preserve">J. </w:t>
      </w:r>
      <w:r w:rsidRPr="00612C6D">
        <w:rPr>
          <w:spacing w:val="-2"/>
          <w:sz w:val="16"/>
          <w:szCs w:val="16"/>
          <w:lang w:val="en-US"/>
        </w:rPr>
        <w:t xml:space="preserve">2006. Grid Tools (Jenness Enterprises) v. 1.7 (grid_tools_jen.avx) extension for ArcView 3.x. Jenness Enterprises. Available at: </w:t>
      </w:r>
      <w:hyperlink r:id="rId6" w:history="1">
        <w:r w:rsidRPr="00676496">
          <w:rPr>
            <w:rStyle w:val="a3"/>
            <w:spacing w:val="-2"/>
            <w:sz w:val="16"/>
            <w:szCs w:val="16"/>
            <w:lang w:val="en-US"/>
          </w:rPr>
          <w:t>http://www.jennessent.com/arcview/grid_tools.htm</w:t>
        </w:r>
      </w:hyperlink>
      <w:r w:rsidRPr="00612C6D">
        <w:rPr>
          <w:spacing w:val="-2"/>
          <w:sz w:val="16"/>
          <w:szCs w:val="16"/>
          <w:lang w:val="en-US"/>
        </w:rPr>
        <w:t>.</w:t>
      </w:r>
    </w:p>
    <w:p w:rsidR="0043644F" w:rsidRPr="00612C6D" w:rsidRDefault="0043644F" w:rsidP="0043644F">
      <w:pPr>
        <w:numPr>
          <w:ilvl w:val="0"/>
          <w:numId w:val="1"/>
        </w:numPr>
        <w:ind w:left="567" w:hanging="567"/>
        <w:jc w:val="both"/>
        <w:rPr>
          <w:bCs/>
          <w:spacing w:val="-2"/>
          <w:sz w:val="16"/>
          <w:szCs w:val="16"/>
          <w:lang w:val="en-US"/>
        </w:rPr>
      </w:pPr>
      <w:r w:rsidRPr="00612C6D">
        <w:rPr>
          <w:spacing w:val="-2"/>
          <w:sz w:val="16"/>
          <w:szCs w:val="16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612C6D">
            <w:rPr>
              <w:spacing w:val="-2"/>
              <w:sz w:val="16"/>
              <w:szCs w:val="16"/>
              <w:lang w:val="en-US"/>
            </w:rPr>
            <w:t>Pennsylvania</w:t>
          </w:r>
        </w:smartTag>
      </w:smartTag>
      <w:r w:rsidRPr="00612C6D">
        <w:rPr>
          <w:spacing w:val="-2"/>
          <w:sz w:val="16"/>
          <w:szCs w:val="16"/>
          <w:lang w:val="en-US"/>
        </w:rPr>
        <w:t xml:space="preserve"> state university: </w:t>
      </w:r>
      <w:hyperlink r:id="rId7" w:history="1">
        <w:r w:rsidRPr="00676496">
          <w:rPr>
            <w:rStyle w:val="a3"/>
            <w:spacing w:val="-2"/>
            <w:sz w:val="16"/>
            <w:szCs w:val="16"/>
            <w:lang w:val="en-US"/>
          </w:rPr>
          <w:t>https://www.e-ducation.psu.edu/geog485/node/101</w:t>
        </w:r>
      </w:hyperlink>
    </w:p>
    <w:p w:rsidR="0043644F" w:rsidRPr="005365B4" w:rsidRDefault="0043644F" w:rsidP="0043644F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9069C9" w:rsidRPr="0043644F" w:rsidRDefault="0043644F">
      <w:pPr>
        <w:rPr>
          <w:lang w:val="en-US"/>
        </w:rPr>
      </w:pPr>
    </w:p>
    <w:sectPr w:rsidR="009069C9" w:rsidRPr="0043644F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3E49"/>
    <w:multiLevelType w:val="hybridMultilevel"/>
    <w:tmpl w:val="7A36C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44F"/>
    <w:rsid w:val="00196E57"/>
    <w:rsid w:val="003B6038"/>
    <w:rsid w:val="0043644F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4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644F"/>
    <w:rPr>
      <w:color w:val="0000FF"/>
      <w:u w:val="single"/>
    </w:rPr>
  </w:style>
  <w:style w:type="paragraph" w:customStyle="1" w:styleId="ConsPlusNonformat">
    <w:name w:val="ConsPlusNonformat"/>
    <w:rsid w:val="004364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44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ducation.psu.edu/geog485/node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nnessent.com/arcview/grid_tool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2013-09-24T08:32:00Z</dcterms:created>
  <dcterms:modified xsi:type="dcterms:W3CDTF">2013-09-24T08:33:00Z</dcterms:modified>
</cp:coreProperties>
</file>