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61" w:rsidRPr="00055175" w:rsidRDefault="00C24461" w:rsidP="00C24461">
      <w:pPr>
        <w:keepNext/>
        <w:jc w:val="center"/>
        <w:rPr>
          <w:b/>
          <w:sz w:val="20"/>
          <w:szCs w:val="20"/>
          <w:vertAlign w:val="superscript"/>
        </w:rPr>
      </w:pPr>
      <w:r w:rsidRPr="00055175">
        <w:rPr>
          <w:b/>
          <w:sz w:val="20"/>
          <w:szCs w:val="20"/>
        </w:rPr>
        <w:t>В. П. Самодуров</w:t>
      </w:r>
      <w:r w:rsidRPr="00055175">
        <w:rPr>
          <w:sz w:val="20"/>
          <w:szCs w:val="20"/>
          <w:vertAlign w:val="superscript"/>
        </w:rPr>
        <w:t>1</w:t>
      </w:r>
      <w:r w:rsidRPr="00055175">
        <w:rPr>
          <w:b/>
          <w:sz w:val="20"/>
          <w:szCs w:val="20"/>
        </w:rPr>
        <w:t>, В. Э. Кутырло</w:t>
      </w:r>
      <w:r w:rsidRPr="00055175">
        <w:rPr>
          <w:sz w:val="20"/>
          <w:szCs w:val="20"/>
          <w:vertAlign w:val="superscript"/>
        </w:rPr>
        <w:t>2</w:t>
      </w:r>
      <w:r w:rsidRPr="00055175">
        <w:rPr>
          <w:b/>
          <w:sz w:val="20"/>
          <w:szCs w:val="20"/>
        </w:rPr>
        <w:t>, А. А. Разводовский</w:t>
      </w:r>
      <w:r w:rsidRPr="00055175">
        <w:rPr>
          <w:sz w:val="20"/>
          <w:szCs w:val="20"/>
          <w:vertAlign w:val="superscript"/>
        </w:rPr>
        <w:t>2</w:t>
      </w:r>
    </w:p>
    <w:p w:rsidR="00C24461" w:rsidRPr="00976277" w:rsidRDefault="00C24461" w:rsidP="00C24461">
      <w:pPr>
        <w:keepNext/>
        <w:jc w:val="center"/>
        <w:rPr>
          <w:sz w:val="18"/>
          <w:szCs w:val="18"/>
        </w:rPr>
      </w:pPr>
    </w:p>
    <w:p w:rsidR="00C24461" w:rsidRPr="006576C7" w:rsidRDefault="00C24461" w:rsidP="00C24461">
      <w:pPr>
        <w:jc w:val="center"/>
        <w:rPr>
          <w:sz w:val="18"/>
          <w:szCs w:val="20"/>
          <w:vertAlign w:val="superscript"/>
        </w:rPr>
      </w:pPr>
      <w:r w:rsidRPr="00055175">
        <w:rPr>
          <w:sz w:val="18"/>
          <w:szCs w:val="20"/>
          <w:vertAlign w:val="superscript"/>
        </w:rPr>
        <w:t>1</w:t>
      </w:r>
      <w:r w:rsidRPr="00055175">
        <w:rPr>
          <w:sz w:val="18"/>
          <w:szCs w:val="20"/>
          <w:lang w:val="be-BY"/>
        </w:rPr>
        <w:t> </w:t>
      </w:r>
      <w:r w:rsidRPr="00055175">
        <w:rPr>
          <w:sz w:val="18"/>
          <w:szCs w:val="20"/>
        </w:rPr>
        <w:t>Белорусский государственный университет,</w:t>
      </w:r>
      <w:r w:rsidRPr="00055175">
        <w:rPr>
          <w:sz w:val="18"/>
          <w:szCs w:val="20"/>
          <w:vertAlign w:val="superscript"/>
          <w:lang w:val="be-BY"/>
        </w:rPr>
        <w:t> </w:t>
      </w:r>
    </w:p>
    <w:p w:rsidR="00C24461" w:rsidRPr="00055175" w:rsidRDefault="00C24461" w:rsidP="00C24461">
      <w:pPr>
        <w:jc w:val="center"/>
        <w:rPr>
          <w:sz w:val="18"/>
          <w:szCs w:val="20"/>
        </w:rPr>
      </w:pPr>
      <w:r w:rsidRPr="00055175">
        <w:rPr>
          <w:sz w:val="18"/>
          <w:szCs w:val="20"/>
          <w:vertAlign w:val="superscript"/>
        </w:rPr>
        <w:t>2</w:t>
      </w:r>
      <w:r w:rsidRPr="00055175">
        <w:rPr>
          <w:sz w:val="18"/>
          <w:szCs w:val="20"/>
        </w:rPr>
        <w:t xml:space="preserve"> ОАО «Белгорхимпром» </w:t>
      </w:r>
    </w:p>
    <w:p w:rsidR="00C24461" w:rsidRPr="00976277" w:rsidRDefault="00C24461" w:rsidP="00C24461">
      <w:pPr>
        <w:jc w:val="center"/>
        <w:rPr>
          <w:sz w:val="18"/>
          <w:szCs w:val="18"/>
          <w:highlight w:val="yellow"/>
        </w:rPr>
      </w:pPr>
    </w:p>
    <w:p w:rsidR="00C24461" w:rsidRPr="00055175" w:rsidRDefault="00C24461" w:rsidP="00C24461">
      <w:pPr>
        <w:jc w:val="center"/>
        <w:rPr>
          <w:b/>
          <w:sz w:val="20"/>
          <w:szCs w:val="20"/>
        </w:rPr>
      </w:pPr>
      <w:r w:rsidRPr="00055175">
        <w:rPr>
          <w:b/>
          <w:sz w:val="20"/>
          <w:szCs w:val="20"/>
        </w:rPr>
        <w:t>ОПЫТ ИНТЕРПРЕТАЦИИ ИНКЛИНОМЕТРИЧЕСКИХ ИССЛЕДОВАНИЙ В СКВАЖИНАХ</w:t>
      </w:r>
    </w:p>
    <w:p w:rsidR="00C24461" w:rsidRPr="00976277" w:rsidRDefault="00C24461" w:rsidP="00C24461">
      <w:pPr>
        <w:jc w:val="both"/>
        <w:rPr>
          <w:b/>
          <w:sz w:val="20"/>
          <w:szCs w:val="20"/>
          <w:lang w:val="be-BY"/>
        </w:rPr>
      </w:pPr>
    </w:p>
    <w:p w:rsidR="00C24461" w:rsidRPr="00055175" w:rsidRDefault="00C24461" w:rsidP="00C24461">
      <w:pPr>
        <w:ind w:firstLine="340"/>
        <w:jc w:val="both"/>
        <w:rPr>
          <w:sz w:val="20"/>
          <w:szCs w:val="20"/>
        </w:rPr>
      </w:pPr>
      <w:r w:rsidRPr="00055175">
        <w:rPr>
          <w:i/>
          <w:sz w:val="20"/>
          <w:szCs w:val="20"/>
        </w:rPr>
        <w:t>Введение.</w:t>
      </w:r>
      <w:r w:rsidRPr="00055175">
        <w:rPr>
          <w:sz w:val="20"/>
          <w:szCs w:val="20"/>
        </w:rPr>
        <w:t xml:space="preserve"> Инклинометрия — один из обязательных методов геофизических исследований скважин (ГИС), к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>торый постоянно используется при поисках и разведке месторождений полезных ископаемых с помощью бурения. Ц</w:t>
      </w:r>
      <w:r w:rsidRPr="00055175">
        <w:rPr>
          <w:sz w:val="20"/>
          <w:szCs w:val="20"/>
        </w:rPr>
        <w:t>е</w:t>
      </w:r>
      <w:r w:rsidRPr="00055175">
        <w:rPr>
          <w:sz w:val="20"/>
          <w:szCs w:val="20"/>
        </w:rPr>
        <w:t>лью инклинометрических исследований является определение пространственного положения ствола буровой скважины, которое, вследствие ряда причин, всегда отклоняется от проектного его положения. Инклинометрические измер</w:t>
      </w:r>
      <w:r w:rsidRPr="00055175">
        <w:rPr>
          <w:sz w:val="20"/>
          <w:szCs w:val="20"/>
        </w:rPr>
        <w:t>е</w:t>
      </w:r>
      <w:r w:rsidRPr="00055175">
        <w:rPr>
          <w:sz w:val="20"/>
          <w:szCs w:val="20"/>
        </w:rPr>
        <w:t xml:space="preserve">ния проводят относительно устья скважины, определяя три параметра: глубину по оси скважины, угол отклонения ствола скважины от вертикали (зенитный угол θ) и азимут </w:t>
      </w:r>
      <w:r w:rsidRPr="00055175">
        <w:rPr>
          <w:sz w:val="20"/>
          <w:szCs w:val="20"/>
          <w:lang w:val="en-US"/>
        </w:rPr>
        <w:t></w:t>
      </w:r>
      <w:r w:rsidRPr="00055175">
        <w:rPr>
          <w:sz w:val="20"/>
          <w:szCs w:val="20"/>
        </w:rPr>
        <w:t>. Измерения ведут с помощью инклин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>метров различного типа — магнитных, электрических, фотографических и гироскопических. По данным замеров строится план (инклинограмма), который является проекцией оси скважины на гор</w:t>
      </w:r>
      <w:r w:rsidRPr="00055175">
        <w:rPr>
          <w:sz w:val="20"/>
          <w:szCs w:val="20"/>
        </w:rPr>
        <w:t>и</w:t>
      </w:r>
      <w:r w:rsidRPr="00055175">
        <w:rPr>
          <w:sz w:val="20"/>
          <w:szCs w:val="20"/>
        </w:rPr>
        <w:t>зонтальную плоскость, а также профили север—юг и запад—восток. Данные инклинометрии используются для определения истинных глубин з</w:t>
      </w:r>
      <w:r w:rsidRPr="00055175">
        <w:rPr>
          <w:sz w:val="20"/>
          <w:szCs w:val="20"/>
        </w:rPr>
        <w:t>а</w:t>
      </w:r>
      <w:r w:rsidRPr="00055175">
        <w:rPr>
          <w:sz w:val="20"/>
          <w:szCs w:val="20"/>
        </w:rPr>
        <w:t>легания геологических объектов (глубин по вертикали), при построении карт и разрезов совместно с другими да</w:t>
      </w:r>
      <w:r w:rsidRPr="00055175">
        <w:rPr>
          <w:sz w:val="20"/>
          <w:szCs w:val="20"/>
        </w:rPr>
        <w:t>н</w:t>
      </w:r>
      <w:r w:rsidRPr="00055175">
        <w:rPr>
          <w:sz w:val="20"/>
          <w:szCs w:val="20"/>
        </w:rPr>
        <w:t>ными ГИС. Значение инклинометрии особенно возросло в настоящее время в связи с бурным развитием методов направленного бурения, которое требует точного определения положения бурового снаряда для бурения скважины в заданном направлении. В данной работе представлены созданные авторами программы обработки инклинометр</w:t>
      </w:r>
      <w:r w:rsidRPr="00055175">
        <w:rPr>
          <w:sz w:val="20"/>
          <w:szCs w:val="20"/>
        </w:rPr>
        <w:t>и</w:t>
      </w:r>
      <w:r w:rsidRPr="00055175">
        <w:rPr>
          <w:sz w:val="20"/>
          <w:szCs w:val="20"/>
        </w:rPr>
        <w:t>ческих данных и обсуждаются особенности инклинометрических исследований при использовании геофизической аппаратуры разного типа.</w:t>
      </w:r>
    </w:p>
    <w:p w:rsidR="00C24461" w:rsidRPr="00055175" w:rsidRDefault="00C24461" w:rsidP="00C24461">
      <w:pPr>
        <w:ind w:firstLine="340"/>
        <w:jc w:val="both"/>
        <w:rPr>
          <w:sz w:val="20"/>
          <w:szCs w:val="20"/>
        </w:rPr>
      </w:pPr>
      <w:r w:rsidRPr="00055175">
        <w:rPr>
          <w:i/>
          <w:sz w:val="20"/>
          <w:szCs w:val="20"/>
        </w:rPr>
        <w:t>Методы.</w:t>
      </w:r>
      <w:r w:rsidRPr="00055175">
        <w:rPr>
          <w:sz w:val="20"/>
          <w:szCs w:val="20"/>
        </w:rPr>
        <w:t xml:space="preserve"> Поиски и разведка месторождений </w:t>
      </w:r>
      <w:r w:rsidRPr="00055175">
        <w:rPr>
          <w:bCs/>
          <w:sz w:val="20"/>
          <w:szCs w:val="22"/>
        </w:rPr>
        <w:t>―</w:t>
      </w:r>
      <w:r w:rsidRPr="00055175">
        <w:rPr>
          <w:sz w:val="20"/>
          <w:szCs w:val="20"/>
        </w:rPr>
        <w:t> процесс многолетних работ многих научных и производстве</w:t>
      </w:r>
      <w:r w:rsidRPr="00055175">
        <w:rPr>
          <w:sz w:val="20"/>
          <w:szCs w:val="20"/>
        </w:rPr>
        <w:t>н</w:t>
      </w:r>
      <w:r w:rsidRPr="00055175">
        <w:rPr>
          <w:sz w:val="20"/>
          <w:szCs w:val="20"/>
        </w:rPr>
        <w:t>ных организаций. В результате, первичные полевые материалы инклинометрии в скважинах накапливаются и п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>ступают к окончательной обработке данных в разной форме. Чаще всего исходные данные получают при пошаг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>вом измерении инклинометрических параметров с шагом квантования 10</w:t>
      </w:r>
      <w:r w:rsidRPr="00055175">
        <w:rPr>
          <w:bCs/>
          <w:sz w:val="20"/>
          <w:szCs w:val="22"/>
        </w:rPr>
        <w:t>―</w:t>
      </w:r>
      <w:smartTag w:uri="urn:schemas-microsoft-com:office:smarttags" w:element="metricconverter">
        <w:smartTagPr>
          <w:attr w:name="ProductID" w:val="20 м"/>
        </w:smartTagPr>
        <w:r w:rsidRPr="00055175">
          <w:rPr>
            <w:sz w:val="20"/>
            <w:szCs w:val="20"/>
          </w:rPr>
          <w:t>20 м</w:t>
        </w:r>
      </w:smartTag>
      <w:r w:rsidRPr="00055175">
        <w:rPr>
          <w:sz w:val="20"/>
          <w:szCs w:val="20"/>
        </w:rPr>
        <w:t>. Из-за небольшого количества да</w:t>
      </w:r>
      <w:r w:rsidRPr="00055175">
        <w:rPr>
          <w:sz w:val="20"/>
          <w:szCs w:val="20"/>
        </w:rPr>
        <w:t>н</w:t>
      </w:r>
      <w:r w:rsidRPr="00055175">
        <w:rPr>
          <w:sz w:val="20"/>
          <w:szCs w:val="20"/>
        </w:rPr>
        <w:t>ных, их вводят в программы построения инклинограмм вручную. В настоящее время инклинометры часто вх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>дят в состав комплексной геофизической аппаратуры, и тогда все измерения проводят с шагом квантования 0,1</w:t>
      </w:r>
      <w:r w:rsidRPr="00055175">
        <w:rPr>
          <w:bCs/>
          <w:sz w:val="20"/>
          <w:szCs w:val="22"/>
        </w:rPr>
        <w:t>―</w:t>
      </w:r>
      <w:r w:rsidRPr="00055175">
        <w:rPr>
          <w:sz w:val="20"/>
          <w:szCs w:val="20"/>
        </w:rPr>
        <w:t xml:space="preserve">0,2 м, а большой массив данных для компьютерной обработки результатов поступает в виде </w:t>
      </w:r>
      <w:r w:rsidRPr="00055175">
        <w:rPr>
          <w:sz w:val="20"/>
          <w:szCs w:val="20"/>
          <w:lang w:val="en-US"/>
        </w:rPr>
        <w:t>las</w:t>
      </w:r>
      <w:r w:rsidRPr="00055175">
        <w:rPr>
          <w:sz w:val="20"/>
          <w:szCs w:val="20"/>
        </w:rPr>
        <w:t>-файлов, используемых обычно в ГИС-технологиях. Ранние данные геофизических исследова</w:t>
      </w:r>
      <w:r>
        <w:rPr>
          <w:sz w:val="20"/>
          <w:szCs w:val="20"/>
        </w:rPr>
        <w:t>ний скважин были получены в своё</w:t>
      </w:r>
      <w:r w:rsidRPr="00055175">
        <w:rPr>
          <w:sz w:val="20"/>
          <w:szCs w:val="20"/>
        </w:rPr>
        <w:t xml:space="preserve"> время на аналоговой аппаратуре и хранятся в настоящее время в графическом виде как диаграммы замеров глубин по оси скважины, зенитного угла и азимута. Обработка результатов инклинометрических исследований регламентирована «Инструкцией по проведению инклинометрических исследований в скважинах» [1]. Многообразие форм исходных данных потребовало создания пакета программ по их обработке, адаптированных к импорту файлов данных, пре</w:t>
      </w:r>
      <w:r w:rsidRPr="00055175">
        <w:rPr>
          <w:sz w:val="20"/>
          <w:szCs w:val="20"/>
        </w:rPr>
        <w:t>д</w:t>
      </w:r>
      <w:r w:rsidRPr="00055175">
        <w:rPr>
          <w:sz w:val="20"/>
          <w:szCs w:val="20"/>
        </w:rPr>
        <w:t xml:space="preserve">ставленных в разных форматах. </w:t>
      </w:r>
    </w:p>
    <w:p w:rsidR="00C24461" w:rsidRPr="00055175" w:rsidRDefault="00C24461" w:rsidP="00C24461">
      <w:pPr>
        <w:ind w:firstLine="340"/>
        <w:jc w:val="both"/>
        <w:rPr>
          <w:sz w:val="20"/>
          <w:szCs w:val="20"/>
        </w:rPr>
      </w:pPr>
      <w:r w:rsidRPr="00055175">
        <w:rPr>
          <w:i/>
          <w:sz w:val="20"/>
          <w:szCs w:val="20"/>
        </w:rPr>
        <w:t xml:space="preserve">Объект исследований. </w:t>
      </w:r>
      <w:r w:rsidRPr="00055175">
        <w:rPr>
          <w:sz w:val="20"/>
          <w:szCs w:val="20"/>
        </w:rPr>
        <w:t>Апробация программ инклинометрии выполнена на скважинах Гарлыкского месторо</w:t>
      </w:r>
      <w:r w:rsidRPr="00055175">
        <w:rPr>
          <w:sz w:val="20"/>
          <w:szCs w:val="20"/>
        </w:rPr>
        <w:t>ж</w:t>
      </w:r>
      <w:r w:rsidRPr="00055175">
        <w:rPr>
          <w:sz w:val="20"/>
          <w:szCs w:val="20"/>
        </w:rPr>
        <w:t>дения калийных солей, разведка которого ведется с 1960-х гг. Исходные данные здесь представлены старыми ге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 xml:space="preserve">физическими диаграммами, данными замеров с шагом квантования </w:t>
      </w:r>
      <w:smartTag w:uri="urn:schemas-microsoft-com:office:smarttags" w:element="metricconverter">
        <w:smartTagPr>
          <w:attr w:name="ProductID" w:val="20 м"/>
        </w:smartTagPr>
        <w:r w:rsidRPr="00055175">
          <w:rPr>
            <w:sz w:val="20"/>
            <w:szCs w:val="20"/>
          </w:rPr>
          <w:t>20 м</w:t>
        </w:r>
      </w:smartTag>
      <w:r w:rsidRPr="00055175">
        <w:rPr>
          <w:sz w:val="20"/>
          <w:szCs w:val="20"/>
        </w:rPr>
        <w:t xml:space="preserve"> и современными las-файлами с шагом и</w:t>
      </w:r>
      <w:r w:rsidRPr="00055175">
        <w:rPr>
          <w:sz w:val="20"/>
          <w:szCs w:val="20"/>
        </w:rPr>
        <w:t>з</w:t>
      </w:r>
      <w:r w:rsidRPr="00055175">
        <w:rPr>
          <w:sz w:val="20"/>
          <w:szCs w:val="20"/>
        </w:rPr>
        <w:t xml:space="preserve">мерений </w:t>
      </w:r>
      <w:smartTag w:uri="urn:schemas-microsoft-com:office:smarttags" w:element="metricconverter">
        <w:smartTagPr>
          <w:attr w:name="ProductID" w:val="20 см"/>
        </w:smartTagPr>
        <w:r w:rsidRPr="00055175">
          <w:rPr>
            <w:sz w:val="20"/>
            <w:szCs w:val="20"/>
          </w:rPr>
          <w:t>20 см</w:t>
        </w:r>
      </w:smartTag>
      <w:r w:rsidRPr="00055175">
        <w:rPr>
          <w:sz w:val="20"/>
          <w:szCs w:val="20"/>
        </w:rPr>
        <w:t>. Все измерения здесь выполнены дважды, что позволяет определить влияние основных погрешн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>стей на построение инклинограмм. Актуальность работы определяется проводимыми в настоящее время геолог</w:t>
      </w:r>
      <w:r w:rsidRPr="00055175">
        <w:rPr>
          <w:sz w:val="20"/>
          <w:szCs w:val="20"/>
        </w:rPr>
        <w:t>о</w:t>
      </w:r>
      <w:r w:rsidRPr="00055175">
        <w:rPr>
          <w:sz w:val="20"/>
          <w:szCs w:val="20"/>
        </w:rPr>
        <w:t xml:space="preserve">разведочными работами на Гарлыкском месторождении калийных солей. </w:t>
      </w:r>
    </w:p>
    <w:p w:rsidR="00C24461" w:rsidRPr="00055175" w:rsidRDefault="00C24461" w:rsidP="00C24461">
      <w:pPr>
        <w:ind w:firstLine="340"/>
        <w:jc w:val="both"/>
        <w:rPr>
          <w:sz w:val="20"/>
          <w:szCs w:val="20"/>
        </w:rPr>
      </w:pPr>
      <w:r w:rsidRPr="00055175">
        <w:rPr>
          <w:i/>
          <w:sz w:val="20"/>
          <w:szCs w:val="20"/>
        </w:rPr>
        <w:t xml:space="preserve">Результаты программирования. </w:t>
      </w:r>
      <w:r w:rsidRPr="00055175">
        <w:rPr>
          <w:sz w:val="20"/>
          <w:szCs w:val="20"/>
        </w:rPr>
        <w:t xml:space="preserve">В программной среде </w:t>
      </w:r>
      <w:r w:rsidRPr="00055175">
        <w:rPr>
          <w:sz w:val="20"/>
          <w:szCs w:val="20"/>
          <w:lang w:val="en-US"/>
        </w:rPr>
        <w:t>Delphi</w:t>
      </w:r>
      <w:r w:rsidRPr="00055175">
        <w:rPr>
          <w:i/>
          <w:sz w:val="20"/>
          <w:szCs w:val="20"/>
        </w:rPr>
        <w:t xml:space="preserve"> </w:t>
      </w:r>
      <w:r w:rsidRPr="00055175">
        <w:rPr>
          <w:sz w:val="20"/>
          <w:szCs w:val="20"/>
        </w:rPr>
        <w:t>нами</w:t>
      </w:r>
      <w:r w:rsidRPr="00055175">
        <w:rPr>
          <w:i/>
          <w:sz w:val="20"/>
          <w:szCs w:val="20"/>
        </w:rPr>
        <w:t xml:space="preserve"> </w:t>
      </w:r>
      <w:r w:rsidRPr="00055175">
        <w:rPr>
          <w:sz w:val="20"/>
          <w:szCs w:val="20"/>
        </w:rPr>
        <w:t>создана в двух вариантах программа обр</w:t>
      </w:r>
      <w:r w:rsidRPr="00055175">
        <w:rPr>
          <w:sz w:val="20"/>
          <w:szCs w:val="20"/>
        </w:rPr>
        <w:t>а</w:t>
      </w:r>
      <w:r w:rsidRPr="00055175">
        <w:rPr>
          <w:sz w:val="20"/>
          <w:szCs w:val="20"/>
        </w:rPr>
        <w:t xml:space="preserve">ботки инклинометрических данных </w:t>
      </w:r>
      <w:r w:rsidRPr="00055175">
        <w:rPr>
          <w:i/>
          <w:sz w:val="20"/>
          <w:szCs w:val="20"/>
          <w:lang w:val="en-US"/>
        </w:rPr>
        <w:t>Barbara</w:t>
      </w:r>
      <w:r w:rsidRPr="00055175">
        <w:rPr>
          <w:i/>
          <w:sz w:val="20"/>
          <w:szCs w:val="20"/>
        </w:rPr>
        <w:t xml:space="preserve"> 2013</w:t>
      </w:r>
      <w:r w:rsidRPr="00055175">
        <w:rPr>
          <w:sz w:val="20"/>
          <w:szCs w:val="20"/>
        </w:rPr>
        <w:t>: 1-й вариант </w:t>
      </w:r>
      <w:r w:rsidRPr="00055175">
        <w:rPr>
          <w:bCs/>
          <w:sz w:val="20"/>
          <w:szCs w:val="22"/>
        </w:rPr>
        <w:t>―</w:t>
      </w:r>
      <w:r w:rsidRPr="00055175">
        <w:rPr>
          <w:sz w:val="20"/>
          <w:szCs w:val="20"/>
        </w:rPr>
        <w:t> для ручного ввода данных небольших массивов, 2-й вариант </w:t>
      </w:r>
      <w:r w:rsidRPr="00055175">
        <w:rPr>
          <w:bCs/>
          <w:sz w:val="20"/>
          <w:szCs w:val="22"/>
        </w:rPr>
        <w:t>―</w:t>
      </w:r>
      <w:r w:rsidRPr="00055175">
        <w:rPr>
          <w:sz w:val="20"/>
          <w:szCs w:val="20"/>
        </w:rPr>
        <w:t xml:space="preserve"> для графического построения инклинограмм исходя из las-файлов. Программа </w:t>
      </w:r>
      <w:r w:rsidRPr="00055175">
        <w:rPr>
          <w:i/>
          <w:sz w:val="20"/>
          <w:szCs w:val="20"/>
          <w:lang w:val="en-US"/>
        </w:rPr>
        <w:t>Barbara </w:t>
      </w:r>
      <w:r w:rsidRPr="00055175">
        <w:rPr>
          <w:i/>
          <w:sz w:val="20"/>
          <w:szCs w:val="20"/>
        </w:rPr>
        <w:t>2013</w:t>
      </w:r>
      <w:r w:rsidRPr="00055175">
        <w:rPr>
          <w:sz w:val="20"/>
          <w:szCs w:val="20"/>
        </w:rPr>
        <w:t xml:space="preserve"> позволяет в</w:t>
      </w:r>
      <w:r w:rsidRPr="00055175">
        <w:rPr>
          <w:sz w:val="20"/>
          <w:szCs w:val="20"/>
        </w:rPr>
        <w:t>ы</w:t>
      </w:r>
      <w:r w:rsidRPr="00055175">
        <w:rPr>
          <w:sz w:val="20"/>
          <w:szCs w:val="20"/>
        </w:rPr>
        <w:t xml:space="preserve">полнить ручной ввод данных (глубину по оси скважины, азимут и зенитный угол) </w:t>
      </w:r>
    </w:p>
    <w:p w:rsidR="00C24461" w:rsidRPr="00055175" w:rsidRDefault="00C24461" w:rsidP="00C24461">
      <w:pPr>
        <w:jc w:val="both"/>
        <w:rPr>
          <w:sz w:val="20"/>
          <w:szCs w:val="20"/>
        </w:rPr>
      </w:pPr>
      <w:r w:rsidRPr="00055175">
        <w:rPr>
          <w:sz w:val="20"/>
          <w:szCs w:val="20"/>
        </w:rPr>
        <w:t xml:space="preserve">непосредственно через интерфейс и сохранить эти данные в формате </w:t>
      </w:r>
      <w:r w:rsidRPr="00055175">
        <w:rPr>
          <w:sz w:val="20"/>
          <w:szCs w:val="20"/>
          <w:lang w:val="en-US"/>
        </w:rPr>
        <w:t>xls</w:t>
      </w:r>
      <w:r w:rsidRPr="00055175">
        <w:rPr>
          <w:sz w:val="20"/>
          <w:szCs w:val="20"/>
        </w:rPr>
        <w:t>. Можно также импортировать заранее по</w:t>
      </w:r>
      <w:r w:rsidRPr="00055175">
        <w:rPr>
          <w:sz w:val="20"/>
          <w:szCs w:val="20"/>
        </w:rPr>
        <w:t>д</w:t>
      </w:r>
      <w:r w:rsidRPr="00055175">
        <w:rPr>
          <w:sz w:val="20"/>
          <w:szCs w:val="20"/>
        </w:rPr>
        <w:t>готовленные xls-файлы.</w:t>
      </w:r>
    </w:p>
    <w:p w:rsidR="00C24461" w:rsidRPr="00055175" w:rsidRDefault="00C24461" w:rsidP="00C24461">
      <w:pPr>
        <w:ind w:firstLine="340"/>
        <w:jc w:val="both"/>
        <w:rPr>
          <w:sz w:val="20"/>
          <w:szCs w:val="20"/>
        </w:rPr>
      </w:pPr>
      <w:r w:rsidRPr="00055175">
        <w:rPr>
          <w:sz w:val="20"/>
          <w:szCs w:val="20"/>
        </w:rPr>
        <w:t>При расчёте координат по [1] используются формулы:</w:t>
      </w:r>
    </w:p>
    <w:p w:rsidR="00C24461" w:rsidRPr="00B3056A" w:rsidRDefault="00C24461" w:rsidP="00C24461">
      <w:pPr>
        <w:jc w:val="center"/>
        <w:rPr>
          <w:spacing w:val="-2"/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2543175" cy="1466850"/>
            <wp:effectExtent l="19050" t="0" r="9525" b="0"/>
            <wp:docPr id="1" name="Рисунок 1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61" w:rsidRDefault="00C24461" w:rsidP="00C24461">
      <w:pPr>
        <w:jc w:val="both"/>
        <w:rPr>
          <w:sz w:val="20"/>
          <w:szCs w:val="20"/>
        </w:rPr>
      </w:pPr>
      <w:r w:rsidRPr="00821A90">
        <w:rPr>
          <w:sz w:val="20"/>
          <w:szCs w:val="20"/>
        </w:rPr>
        <w:t xml:space="preserve">где </w:t>
      </w:r>
      <w:r w:rsidRPr="00821A90">
        <w:rPr>
          <w:i/>
          <w:sz w:val="20"/>
          <w:szCs w:val="20"/>
          <w:lang w:val="en-US"/>
        </w:rPr>
        <w:t>X</w:t>
      </w:r>
      <w:r w:rsidRPr="00821A90">
        <w:rPr>
          <w:i/>
          <w:sz w:val="20"/>
          <w:szCs w:val="20"/>
          <w:vertAlign w:val="subscript"/>
          <w:lang w:val="en-US"/>
        </w:rPr>
        <w:t>n</w:t>
      </w:r>
      <w:r w:rsidRPr="00821A90">
        <w:rPr>
          <w:i/>
          <w:sz w:val="20"/>
          <w:szCs w:val="20"/>
        </w:rPr>
        <w:t xml:space="preserve">, </w:t>
      </w:r>
      <w:r w:rsidRPr="00821A90">
        <w:rPr>
          <w:i/>
          <w:sz w:val="20"/>
          <w:szCs w:val="20"/>
          <w:lang w:val="en-US"/>
        </w:rPr>
        <w:t>Y</w:t>
      </w:r>
      <w:r w:rsidRPr="00821A90">
        <w:rPr>
          <w:i/>
          <w:sz w:val="20"/>
          <w:szCs w:val="20"/>
          <w:vertAlign w:val="subscript"/>
          <w:lang w:val="en-US"/>
        </w:rPr>
        <w:t>n</w:t>
      </w:r>
      <w:r w:rsidRPr="00821A90">
        <w:rPr>
          <w:i/>
          <w:sz w:val="20"/>
          <w:szCs w:val="20"/>
        </w:rPr>
        <w:t xml:space="preserve">, </w:t>
      </w:r>
      <w:r w:rsidRPr="00821A90">
        <w:rPr>
          <w:i/>
          <w:sz w:val="20"/>
          <w:szCs w:val="20"/>
          <w:lang w:val="en-US"/>
        </w:rPr>
        <w:t>Z</w:t>
      </w:r>
      <w:r w:rsidRPr="00821A90">
        <w:rPr>
          <w:i/>
          <w:sz w:val="20"/>
          <w:szCs w:val="20"/>
          <w:vertAlign w:val="subscript"/>
          <w:lang w:val="en-US"/>
        </w:rPr>
        <w:t>n</w:t>
      </w:r>
      <w:r w:rsidRPr="00821A90">
        <w:rPr>
          <w:sz w:val="20"/>
          <w:szCs w:val="20"/>
        </w:rPr>
        <w:t xml:space="preserve"> — координаты определяемой точки </w:t>
      </w:r>
      <w:r w:rsidRPr="00821A90">
        <w:rPr>
          <w:i/>
          <w:sz w:val="20"/>
          <w:szCs w:val="20"/>
          <w:lang w:val="en-US"/>
        </w:rPr>
        <w:t>n</w:t>
      </w:r>
      <w:r w:rsidRPr="00821A90">
        <w:rPr>
          <w:sz w:val="20"/>
          <w:szCs w:val="20"/>
        </w:rPr>
        <w:t xml:space="preserve">; </w:t>
      </w:r>
      <w:r w:rsidRPr="00821A90">
        <w:rPr>
          <w:i/>
          <w:sz w:val="20"/>
          <w:szCs w:val="20"/>
          <w:lang w:val="en-US"/>
        </w:rPr>
        <w:t>l</w:t>
      </w:r>
      <w:r w:rsidRPr="00821A90">
        <w:rPr>
          <w:sz w:val="20"/>
          <w:szCs w:val="20"/>
        </w:rPr>
        <w:t> 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 xml:space="preserve"> шаг измерений между точками </w:t>
      </w:r>
      <w:r w:rsidRPr="00821A90">
        <w:rPr>
          <w:i/>
          <w:sz w:val="20"/>
          <w:szCs w:val="20"/>
          <w:lang w:val="en-US"/>
        </w:rPr>
        <w:t>i</w:t>
      </w:r>
      <w:r w:rsidRPr="00821A90">
        <w:rPr>
          <w:i/>
          <w:sz w:val="20"/>
          <w:szCs w:val="20"/>
        </w:rPr>
        <w:t> </w:t>
      </w:r>
      <w:r w:rsidRPr="00821A90">
        <w:rPr>
          <w:bCs/>
          <w:i/>
          <w:sz w:val="20"/>
          <w:szCs w:val="22"/>
        </w:rPr>
        <w:t>― </w:t>
      </w:r>
      <w:r w:rsidRPr="00821A90">
        <w:rPr>
          <w:i/>
          <w:sz w:val="20"/>
          <w:szCs w:val="20"/>
        </w:rPr>
        <w:t>1</w:t>
      </w:r>
      <w:r w:rsidRPr="00821A90">
        <w:rPr>
          <w:sz w:val="20"/>
          <w:szCs w:val="20"/>
        </w:rPr>
        <w:t xml:space="preserve"> и </w:t>
      </w:r>
      <w:r w:rsidRPr="00821A90">
        <w:rPr>
          <w:i/>
          <w:sz w:val="20"/>
          <w:szCs w:val="20"/>
          <w:lang w:val="en-US"/>
        </w:rPr>
        <w:t>i</w:t>
      </w:r>
      <w:r w:rsidRPr="00821A90">
        <w:rPr>
          <w:sz w:val="20"/>
          <w:szCs w:val="20"/>
        </w:rPr>
        <w:t xml:space="preserve">; </w:t>
      </w:r>
      <w:r w:rsidRPr="00821A90">
        <w:rPr>
          <w:i/>
          <w:sz w:val="20"/>
          <w:szCs w:val="20"/>
        </w:rPr>
        <w:t>θ</w:t>
      </w:r>
      <w:r w:rsidRPr="00821A90">
        <w:rPr>
          <w:i/>
          <w:sz w:val="20"/>
          <w:szCs w:val="20"/>
          <w:vertAlign w:val="subscript"/>
          <w:lang w:val="en-US"/>
        </w:rPr>
        <w:t>i</w:t>
      </w:r>
      <w:r w:rsidRPr="00821A90">
        <w:rPr>
          <w:bCs/>
          <w:i/>
          <w:sz w:val="20"/>
          <w:szCs w:val="22"/>
          <w:vertAlign w:val="subscript"/>
        </w:rPr>
        <w:t>―</w:t>
      </w:r>
      <w:r w:rsidRPr="006576C7">
        <w:rPr>
          <w:i/>
          <w:sz w:val="20"/>
          <w:szCs w:val="20"/>
          <w:vertAlign w:val="subscript"/>
        </w:rPr>
        <w:t>1</w:t>
      </w:r>
      <w:r w:rsidRPr="00821A90">
        <w:rPr>
          <w:sz w:val="20"/>
          <w:szCs w:val="20"/>
        </w:rPr>
        <w:t xml:space="preserve">, </w:t>
      </w:r>
      <w:r w:rsidRPr="00821A90">
        <w:rPr>
          <w:i/>
          <w:sz w:val="20"/>
          <w:szCs w:val="20"/>
        </w:rPr>
        <w:t>θ</w:t>
      </w:r>
      <w:r w:rsidRPr="00821A90">
        <w:rPr>
          <w:i/>
          <w:sz w:val="20"/>
          <w:szCs w:val="20"/>
          <w:vertAlign w:val="subscript"/>
          <w:lang w:val="en-US"/>
        </w:rPr>
        <w:t>i</w:t>
      </w:r>
      <w:r w:rsidRPr="00821A90">
        <w:rPr>
          <w:sz w:val="20"/>
          <w:szCs w:val="20"/>
        </w:rPr>
        <w:t> </w:t>
      </w:r>
      <w:r w:rsidRPr="00821A90">
        <w:rPr>
          <w:bCs/>
          <w:sz w:val="20"/>
          <w:szCs w:val="22"/>
        </w:rPr>
        <w:t>―</w:t>
      </w:r>
      <w:r w:rsidRPr="00821A90">
        <w:rPr>
          <w:bCs/>
          <w:sz w:val="20"/>
          <w:szCs w:val="22"/>
          <w:lang w:val="en-US"/>
        </w:rPr>
        <w:t> </w:t>
      </w:r>
      <w:r w:rsidRPr="00821A90">
        <w:rPr>
          <w:sz w:val="20"/>
          <w:szCs w:val="20"/>
        </w:rPr>
        <w:t xml:space="preserve">зенитные углы в точках </w:t>
      </w:r>
      <w:r w:rsidRPr="00821A90">
        <w:rPr>
          <w:i/>
          <w:sz w:val="20"/>
          <w:szCs w:val="20"/>
          <w:lang w:val="en-US"/>
        </w:rPr>
        <w:t>i</w:t>
      </w:r>
      <w:r w:rsidRPr="00821A90">
        <w:rPr>
          <w:i/>
          <w:sz w:val="20"/>
          <w:szCs w:val="20"/>
        </w:rPr>
        <w:t> </w:t>
      </w:r>
      <w:r w:rsidRPr="00821A90">
        <w:rPr>
          <w:bCs/>
          <w:i/>
          <w:sz w:val="20"/>
          <w:szCs w:val="22"/>
        </w:rPr>
        <w:t>― </w:t>
      </w:r>
      <w:r w:rsidRPr="00821A90">
        <w:rPr>
          <w:i/>
          <w:sz w:val="20"/>
          <w:szCs w:val="20"/>
        </w:rPr>
        <w:t>1</w:t>
      </w:r>
      <w:r w:rsidRPr="00821A90">
        <w:rPr>
          <w:sz w:val="20"/>
          <w:szCs w:val="20"/>
        </w:rPr>
        <w:t xml:space="preserve"> и</w:t>
      </w:r>
      <w:r w:rsidRPr="00821A90">
        <w:rPr>
          <w:i/>
          <w:sz w:val="20"/>
          <w:szCs w:val="20"/>
        </w:rPr>
        <w:t xml:space="preserve"> </w:t>
      </w:r>
      <w:r w:rsidRPr="00821A90">
        <w:rPr>
          <w:i/>
          <w:sz w:val="20"/>
          <w:szCs w:val="20"/>
          <w:lang w:val="en-US"/>
        </w:rPr>
        <w:t>i</w:t>
      </w:r>
      <w:r w:rsidRPr="00821A90">
        <w:rPr>
          <w:i/>
          <w:sz w:val="20"/>
          <w:szCs w:val="20"/>
        </w:rPr>
        <w:t>;α</w:t>
      </w:r>
      <w:r w:rsidRPr="00821A90">
        <w:rPr>
          <w:i/>
          <w:sz w:val="20"/>
          <w:szCs w:val="20"/>
          <w:vertAlign w:val="subscript"/>
          <w:lang w:val="en-US"/>
        </w:rPr>
        <w:t>i</w:t>
      </w:r>
      <w:r w:rsidRPr="00821A90">
        <w:rPr>
          <w:bCs/>
          <w:i/>
          <w:sz w:val="20"/>
          <w:szCs w:val="22"/>
          <w:vertAlign w:val="subscript"/>
        </w:rPr>
        <w:t>―</w:t>
      </w:r>
      <w:r w:rsidRPr="006576C7">
        <w:rPr>
          <w:bCs/>
          <w:i/>
          <w:sz w:val="20"/>
          <w:szCs w:val="22"/>
          <w:vertAlign w:val="subscript"/>
        </w:rPr>
        <w:t>1</w:t>
      </w:r>
      <w:r w:rsidRPr="00821A90">
        <w:rPr>
          <w:i/>
          <w:sz w:val="20"/>
          <w:szCs w:val="20"/>
        </w:rPr>
        <w:t>, α</w:t>
      </w:r>
      <w:r w:rsidRPr="00821A90">
        <w:rPr>
          <w:i/>
          <w:sz w:val="20"/>
          <w:szCs w:val="20"/>
          <w:vertAlign w:val="subscript"/>
          <w:lang w:val="en-US"/>
        </w:rPr>
        <w:t>i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 азимуты в то</w:t>
      </w:r>
      <w:r w:rsidRPr="00821A90">
        <w:rPr>
          <w:sz w:val="20"/>
          <w:szCs w:val="20"/>
        </w:rPr>
        <w:t>ч</w:t>
      </w:r>
      <w:r w:rsidRPr="00821A90">
        <w:rPr>
          <w:sz w:val="20"/>
          <w:szCs w:val="20"/>
        </w:rPr>
        <w:t>ках</w:t>
      </w:r>
      <w:r w:rsidRPr="00821A90">
        <w:rPr>
          <w:i/>
          <w:sz w:val="20"/>
          <w:szCs w:val="20"/>
        </w:rPr>
        <w:t xml:space="preserve"> </w:t>
      </w:r>
      <w:r w:rsidRPr="00821A90">
        <w:rPr>
          <w:i/>
          <w:sz w:val="20"/>
          <w:szCs w:val="20"/>
          <w:lang w:val="en-US"/>
        </w:rPr>
        <w:t>i</w:t>
      </w:r>
      <w:r w:rsidRPr="00821A90">
        <w:rPr>
          <w:i/>
          <w:sz w:val="20"/>
          <w:szCs w:val="20"/>
        </w:rPr>
        <w:t> </w:t>
      </w:r>
      <w:r w:rsidRPr="00821A90">
        <w:rPr>
          <w:bCs/>
          <w:sz w:val="20"/>
          <w:szCs w:val="22"/>
        </w:rPr>
        <w:t>― </w:t>
      </w:r>
      <w:r w:rsidRPr="00821A90">
        <w:rPr>
          <w:i/>
          <w:sz w:val="20"/>
          <w:szCs w:val="20"/>
        </w:rPr>
        <w:t>1</w:t>
      </w:r>
      <w:r w:rsidRPr="00821A90">
        <w:rPr>
          <w:sz w:val="20"/>
          <w:szCs w:val="20"/>
        </w:rPr>
        <w:t xml:space="preserve"> и</w:t>
      </w:r>
      <w:r w:rsidRPr="00821A90">
        <w:rPr>
          <w:i/>
          <w:sz w:val="20"/>
          <w:szCs w:val="20"/>
        </w:rPr>
        <w:t xml:space="preserve"> </w:t>
      </w:r>
      <w:r w:rsidRPr="00821A90">
        <w:rPr>
          <w:i/>
          <w:sz w:val="20"/>
          <w:szCs w:val="20"/>
          <w:lang w:val="en-US"/>
        </w:rPr>
        <w:t>i</w:t>
      </w:r>
      <w:r w:rsidRPr="00821A90">
        <w:rPr>
          <w:sz w:val="20"/>
          <w:szCs w:val="20"/>
        </w:rPr>
        <w:t>.</w:t>
      </w:r>
    </w:p>
    <w:p w:rsidR="00C24461" w:rsidRPr="00821A90" w:rsidRDefault="00C24461" w:rsidP="00C24461">
      <w:pPr>
        <w:jc w:val="both"/>
        <w:rPr>
          <w:sz w:val="20"/>
          <w:szCs w:val="20"/>
        </w:rPr>
      </w:pPr>
    </w:p>
    <w:p w:rsidR="00C24461" w:rsidRPr="00821A90" w:rsidRDefault="00C24461" w:rsidP="00C24461">
      <w:pPr>
        <w:tabs>
          <w:tab w:val="left" w:pos="7560"/>
        </w:tabs>
        <w:ind w:firstLine="340"/>
        <w:jc w:val="both"/>
        <w:rPr>
          <w:sz w:val="20"/>
          <w:szCs w:val="20"/>
        </w:rPr>
      </w:pPr>
      <w:r w:rsidRPr="00821A90">
        <w:rPr>
          <w:sz w:val="20"/>
          <w:szCs w:val="20"/>
        </w:rPr>
        <w:t>В зависимости от максимального отклонения ствола скважины от вертикали, графические результаты пре</w:t>
      </w:r>
      <w:r w:rsidRPr="00821A90">
        <w:rPr>
          <w:sz w:val="20"/>
          <w:szCs w:val="20"/>
        </w:rPr>
        <w:t>д</w:t>
      </w:r>
      <w:r>
        <w:rPr>
          <w:sz w:val="20"/>
          <w:szCs w:val="20"/>
        </w:rPr>
        <w:t>ставляются программой в трё</w:t>
      </w:r>
      <w:r w:rsidRPr="00821A90">
        <w:rPr>
          <w:sz w:val="20"/>
          <w:szCs w:val="20"/>
        </w:rPr>
        <w:t>х сечениях: 0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8 м, 0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30 м и 0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100 м. Программа да</w:t>
      </w:r>
      <w:r>
        <w:rPr>
          <w:sz w:val="20"/>
          <w:szCs w:val="20"/>
        </w:rPr>
        <w:t>ё</w:t>
      </w:r>
      <w:r w:rsidRPr="00821A90">
        <w:rPr>
          <w:sz w:val="20"/>
          <w:szCs w:val="20"/>
        </w:rPr>
        <w:t>т три графических представл</w:t>
      </w:r>
      <w:r w:rsidRPr="00821A90">
        <w:rPr>
          <w:sz w:val="20"/>
          <w:szCs w:val="20"/>
        </w:rPr>
        <w:t>е</w:t>
      </w:r>
      <w:r w:rsidRPr="00821A90">
        <w:rPr>
          <w:sz w:val="20"/>
          <w:szCs w:val="20"/>
        </w:rPr>
        <w:t>ния: план отклонения ствола скважины от вертикали относительно устья скважины и два профиля (север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юг) и (запад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восток). На этих графических представлениях указываются также абсолютная отметка забоя скважины и глубина и значение максимального отклонени</w:t>
      </w:r>
      <w:r>
        <w:rPr>
          <w:sz w:val="20"/>
          <w:szCs w:val="20"/>
        </w:rPr>
        <w:t>я ствола скважины. Программа даё</w:t>
      </w:r>
      <w:r w:rsidRPr="00821A90">
        <w:rPr>
          <w:sz w:val="20"/>
          <w:szCs w:val="20"/>
        </w:rPr>
        <w:t>т также табличные данные инкл</w:t>
      </w:r>
      <w:r w:rsidRPr="00821A90">
        <w:rPr>
          <w:sz w:val="20"/>
          <w:szCs w:val="20"/>
        </w:rPr>
        <w:t>и</w:t>
      </w:r>
      <w:r w:rsidRPr="00821A90">
        <w:rPr>
          <w:sz w:val="20"/>
          <w:szCs w:val="20"/>
        </w:rPr>
        <w:t>нометрии со следующими параметрами: глубина по оси скважины (м), азимут (град.), зенитный угол (град.), откл</w:t>
      </w:r>
      <w:r w:rsidRPr="00821A90">
        <w:rPr>
          <w:sz w:val="20"/>
          <w:szCs w:val="20"/>
        </w:rPr>
        <w:t>о</w:t>
      </w:r>
      <w:r w:rsidRPr="00821A90">
        <w:rPr>
          <w:sz w:val="20"/>
          <w:szCs w:val="20"/>
        </w:rPr>
        <w:t>нение в плане от вертикали (м), отклонение в профиле север 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 юг (м), отклонение в профиле запад 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 восток (м), глубина по вертикали</w:t>
      </w:r>
      <w:r w:rsidRPr="006576C7">
        <w:rPr>
          <w:sz w:val="20"/>
          <w:szCs w:val="20"/>
        </w:rPr>
        <w:t xml:space="preserve"> </w:t>
      </w:r>
      <w:r w:rsidRPr="00821A90">
        <w:rPr>
          <w:sz w:val="20"/>
          <w:szCs w:val="20"/>
        </w:rPr>
        <w:t>(м). Эти данные можно экспортировать в форм</w:t>
      </w:r>
      <w:r w:rsidRPr="00821A90">
        <w:rPr>
          <w:sz w:val="20"/>
          <w:szCs w:val="20"/>
        </w:rPr>
        <w:t>а</w:t>
      </w:r>
      <w:r w:rsidRPr="00821A90">
        <w:rPr>
          <w:sz w:val="20"/>
          <w:szCs w:val="20"/>
        </w:rPr>
        <w:t xml:space="preserve">те </w:t>
      </w:r>
      <w:r w:rsidRPr="00821A90">
        <w:rPr>
          <w:sz w:val="20"/>
          <w:szCs w:val="20"/>
          <w:lang w:val="en-US"/>
        </w:rPr>
        <w:t>xls</w:t>
      </w:r>
      <w:r w:rsidRPr="00821A90">
        <w:rPr>
          <w:sz w:val="20"/>
          <w:szCs w:val="20"/>
        </w:rPr>
        <w:t>.</w:t>
      </w:r>
    </w:p>
    <w:p w:rsidR="00C24461" w:rsidRDefault="00C24461" w:rsidP="00C24461">
      <w:pPr>
        <w:jc w:val="both"/>
        <w:rPr>
          <w:sz w:val="16"/>
          <w:szCs w:val="16"/>
        </w:rPr>
      </w:pPr>
    </w:p>
    <w:p w:rsidR="00C24461" w:rsidRPr="006576C7" w:rsidRDefault="00C24461" w:rsidP="00C24461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1"/>
        <w:gridCol w:w="4732"/>
      </w:tblGrid>
      <w:tr w:rsidR="00C24461" w:rsidRPr="00B3056A" w:rsidTr="00DB6818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24461" w:rsidRPr="00B3056A" w:rsidRDefault="00C24461" w:rsidP="00DB681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w:drawing>
                <wp:inline distT="0" distB="0" distL="0" distR="0">
                  <wp:extent cx="2876550" cy="2876550"/>
                  <wp:effectExtent l="19050" t="0" r="0" b="0"/>
                  <wp:docPr id="2" name="Рисунок 24" descr="план Гарл 7К ствол 1 инкл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план Гарл 7К ствол 1 инкл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C24461" w:rsidRPr="00B3056A" w:rsidRDefault="00C24461" w:rsidP="00DB681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w:drawing>
                <wp:inline distT="0" distB="0" distL="0" distR="0">
                  <wp:extent cx="2943225" cy="2943225"/>
                  <wp:effectExtent l="19050" t="0" r="9525" b="0"/>
                  <wp:docPr id="3" name="Рисунок 25" descr="план Гарл 7К ствол 1 инкл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план Гарл 7К ствол 1 инкл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461" w:rsidRPr="00B3056A" w:rsidTr="00DB6818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24461" w:rsidRPr="00B3056A" w:rsidRDefault="00C24461" w:rsidP="00DB681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w:drawing>
                <wp:inline distT="0" distB="0" distL="0" distR="0">
                  <wp:extent cx="2952750" cy="3819525"/>
                  <wp:effectExtent l="19050" t="0" r="0" b="0"/>
                  <wp:docPr id="4" name="Рисунок 3" descr="Север-юг Гарл 7К ствол 1 инкл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евер-юг Гарл 7К ствол 1 инкл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381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C24461" w:rsidRPr="00B3056A" w:rsidRDefault="00C24461" w:rsidP="00DB6818">
            <w:pPr>
              <w:ind w:hanging="2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w:drawing>
                <wp:inline distT="0" distB="0" distL="0" distR="0">
                  <wp:extent cx="2790825" cy="3867150"/>
                  <wp:effectExtent l="19050" t="0" r="9525" b="0"/>
                  <wp:docPr id="5" name="Рисунок 2" descr="Запад-восток 7К ствол 1 инкл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Запад-восток 7К ствол 1 инкл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461" w:rsidRPr="00821A90" w:rsidRDefault="00C24461" w:rsidP="00C24461">
      <w:pPr>
        <w:jc w:val="center"/>
        <w:rPr>
          <w:spacing w:val="-2"/>
          <w:sz w:val="16"/>
          <w:szCs w:val="16"/>
          <w:lang w:val="be-BY"/>
        </w:rPr>
      </w:pPr>
    </w:p>
    <w:p w:rsidR="00C24461" w:rsidRPr="00F21B55" w:rsidRDefault="00C24461" w:rsidP="00C24461">
      <w:pPr>
        <w:ind w:firstLine="340"/>
        <w:jc w:val="center"/>
        <w:rPr>
          <w:sz w:val="20"/>
          <w:szCs w:val="20"/>
        </w:rPr>
      </w:pPr>
      <w:r w:rsidRPr="00F21B55">
        <w:rPr>
          <w:sz w:val="18"/>
          <w:szCs w:val="20"/>
        </w:rPr>
        <w:t>Вверху слева</w:t>
      </w:r>
      <w:r w:rsidRPr="00F21B55">
        <w:rPr>
          <w:sz w:val="18"/>
          <w:szCs w:val="20"/>
          <w:lang w:val="en-US"/>
        </w:rPr>
        <w:t> </w:t>
      </w:r>
      <w:r w:rsidRPr="00F21B55">
        <w:rPr>
          <w:bCs/>
          <w:sz w:val="18"/>
          <w:szCs w:val="22"/>
        </w:rPr>
        <w:t>―</w:t>
      </w:r>
      <w:r w:rsidRPr="00F21B55">
        <w:rPr>
          <w:sz w:val="18"/>
          <w:szCs w:val="20"/>
          <w:lang w:val="en-US"/>
        </w:rPr>
        <w:t> </w:t>
      </w:r>
      <w:r w:rsidRPr="00F21B55">
        <w:rPr>
          <w:sz w:val="18"/>
          <w:szCs w:val="20"/>
        </w:rPr>
        <w:t>инклинограмма №</w:t>
      </w:r>
      <w:r w:rsidRPr="00F21B55">
        <w:rPr>
          <w:sz w:val="18"/>
          <w:szCs w:val="20"/>
          <w:lang w:val="en-US"/>
        </w:rPr>
        <w:t> </w:t>
      </w:r>
      <w:r w:rsidRPr="00F21B55">
        <w:rPr>
          <w:sz w:val="18"/>
          <w:szCs w:val="20"/>
        </w:rPr>
        <w:t>56, все остальные рисунки</w:t>
      </w:r>
      <w:r w:rsidRPr="00F21B55">
        <w:rPr>
          <w:sz w:val="18"/>
          <w:szCs w:val="20"/>
          <w:lang w:val="en-US"/>
        </w:rPr>
        <w:t> </w:t>
      </w:r>
      <w:r w:rsidRPr="00F21B55">
        <w:rPr>
          <w:bCs/>
          <w:sz w:val="18"/>
          <w:szCs w:val="22"/>
        </w:rPr>
        <w:t>―</w:t>
      </w:r>
      <w:r w:rsidRPr="00F21B55">
        <w:rPr>
          <w:sz w:val="18"/>
          <w:szCs w:val="20"/>
          <w:lang w:val="en-US"/>
        </w:rPr>
        <w:t> </w:t>
      </w:r>
      <w:r w:rsidRPr="00F21B55">
        <w:rPr>
          <w:sz w:val="18"/>
          <w:szCs w:val="20"/>
        </w:rPr>
        <w:t>инклинограмма №</w:t>
      </w:r>
      <w:r w:rsidRPr="00F21B55">
        <w:rPr>
          <w:sz w:val="18"/>
          <w:szCs w:val="20"/>
          <w:lang w:val="en-US"/>
        </w:rPr>
        <w:t> </w:t>
      </w:r>
      <w:r w:rsidRPr="00F21B55">
        <w:rPr>
          <w:sz w:val="18"/>
          <w:szCs w:val="20"/>
        </w:rPr>
        <w:t>57</w:t>
      </w:r>
    </w:p>
    <w:p w:rsidR="00C24461" w:rsidRPr="00F21B55" w:rsidRDefault="00C24461" w:rsidP="00C24461">
      <w:pPr>
        <w:jc w:val="center"/>
        <w:rPr>
          <w:sz w:val="18"/>
          <w:szCs w:val="20"/>
          <w:lang w:val="be-BY"/>
        </w:rPr>
      </w:pPr>
    </w:p>
    <w:p w:rsidR="00C24461" w:rsidRPr="00F21B55" w:rsidRDefault="00C24461" w:rsidP="00C24461">
      <w:pPr>
        <w:jc w:val="center"/>
        <w:rPr>
          <w:b/>
          <w:sz w:val="18"/>
          <w:szCs w:val="18"/>
          <w:lang w:val="be-BY"/>
        </w:rPr>
      </w:pPr>
      <w:r w:rsidRPr="00F21B55">
        <w:rPr>
          <w:sz w:val="18"/>
          <w:szCs w:val="18"/>
        </w:rPr>
        <w:t>Рисунок </w:t>
      </w:r>
      <w:r w:rsidRPr="00F21B55">
        <w:rPr>
          <w:color w:val="000000"/>
          <w:sz w:val="18"/>
          <w:szCs w:val="18"/>
        </w:rPr>
        <w:t>―</w:t>
      </w:r>
      <w:r w:rsidRPr="00F21B55">
        <w:rPr>
          <w:sz w:val="18"/>
          <w:szCs w:val="18"/>
        </w:rPr>
        <w:t> </w:t>
      </w:r>
      <w:r w:rsidRPr="00F21B55">
        <w:rPr>
          <w:b/>
          <w:sz w:val="18"/>
          <w:szCs w:val="18"/>
        </w:rPr>
        <w:t>Инклинограммы скв.</w:t>
      </w:r>
      <w:r w:rsidRPr="00F21B55">
        <w:rPr>
          <w:b/>
          <w:sz w:val="18"/>
          <w:szCs w:val="18"/>
          <w:lang w:val="en-US"/>
        </w:rPr>
        <w:t> </w:t>
      </w:r>
      <w:r w:rsidRPr="00F21B55">
        <w:rPr>
          <w:b/>
          <w:sz w:val="18"/>
          <w:szCs w:val="18"/>
        </w:rPr>
        <w:t>Гарлыкская 7К</w:t>
      </w:r>
    </w:p>
    <w:p w:rsidR="00C24461" w:rsidRDefault="00C24461" w:rsidP="00C24461">
      <w:pPr>
        <w:jc w:val="both"/>
        <w:rPr>
          <w:sz w:val="18"/>
          <w:szCs w:val="20"/>
          <w:lang w:val="be-BY"/>
        </w:rPr>
      </w:pPr>
    </w:p>
    <w:p w:rsidR="00C24461" w:rsidRPr="00821A90" w:rsidRDefault="00C24461" w:rsidP="00C24461">
      <w:pPr>
        <w:ind w:firstLine="340"/>
        <w:jc w:val="both"/>
        <w:rPr>
          <w:sz w:val="20"/>
          <w:szCs w:val="20"/>
        </w:rPr>
      </w:pPr>
      <w:r w:rsidRPr="00821A90">
        <w:rPr>
          <w:sz w:val="20"/>
          <w:szCs w:val="20"/>
        </w:rPr>
        <w:lastRenderedPageBreak/>
        <w:t>Устаревшие инклинограммы, представленные в виде диаграмм, нуждаются в оцифровке и переводе этих да</w:t>
      </w:r>
      <w:r w:rsidRPr="00821A90">
        <w:rPr>
          <w:sz w:val="20"/>
          <w:szCs w:val="20"/>
        </w:rPr>
        <w:t>н</w:t>
      </w:r>
      <w:r w:rsidRPr="00821A90">
        <w:rPr>
          <w:sz w:val="20"/>
          <w:szCs w:val="20"/>
        </w:rPr>
        <w:t xml:space="preserve">ных в las-файл. Это можно сделать предварительно, используя </w:t>
      </w:r>
      <w:r w:rsidRPr="00821A90">
        <w:rPr>
          <w:sz w:val="20"/>
          <w:szCs w:val="20"/>
          <w:lang w:val="en-US"/>
        </w:rPr>
        <w:t>bmp</w:t>
      </w:r>
      <w:r w:rsidRPr="00821A90">
        <w:rPr>
          <w:sz w:val="20"/>
          <w:szCs w:val="20"/>
        </w:rPr>
        <w:t>-изображение диаграмм. Часто азимут и зени</w:t>
      </w:r>
      <w:r w:rsidRPr="00821A90">
        <w:rPr>
          <w:sz w:val="20"/>
          <w:szCs w:val="20"/>
        </w:rPr>
        <w:t>т</w:t>
      </w:r>
      <w:r w:rsidRPr="00821A90">
        <w:rPr>
          <w:sz w:val="20"/>
          <w:szCs w:val="20"/>
        </w:rPr>
        <w:t xml:space="preserve">ный угол на диаграммах изображаются разным цветом, что облегчает их распознавание и перевод графических данных в las-файл. </w:t>
      </w:r>
    </w:p>
    <w:p w:rsidR="00C24461" w:rsidRPr="00821A90" w:rsidRDefault="00C24461" w:rsidP="00C24461">
      <w:pPr>
        <w:ind w:firstLine="340"/>
        <w:jc w:val="both"/>
        <w:rPr>
          <w:sz w:val="20"/>
          <w:szCs w:val="20"/>
        </w:rPr>
      </w:pPr>
      <w:r w:rsidRPr="00821A90">
        <w:rPr>
          <w:i/>
          <w:sz w:val="20"/>
          <w:szCs w:val="20"/>
        </w:rPr>
        <w:t xml:space="preserve">Результаты инклинометрии. </w:t>
      </w:r>
      <w:r w:rsidRPr="00821A90">
        <w:rPr>
          <w:sz w:val="20"/>
          <w:szCs w:val="20"/>
        </w:rPr>
        <w:t>Выполнены инклинометрические исследования в скв</w:t>
      </w:r>
      <w:r w:rsidRPr="00821A90">
        <w:rPr>
          <w:sz w:val="20"/>
          <w:szCs w:val="20"/>
          <w:lang w:val="be-BY"/>
        </w:rPr>
        <w:t>. </w:t>
      </w:r>
      <w:r w:rsidRPr="00821A90">
        <w:rPr>
          <w:sz w:val="20"/>
          <w:szCs w:val="20"/>
        </w:rPr>
        <w:t>54, 5К ствол 1, 5К ствол 2, 5К ствол 3, 7К ствол 1. Глубина скважин варьировала от 474,00 до 546,66 м, при этом максимальные отклонения ств</w:t>
      </w:r>
      <w:r w:rsidRPr="00821A90">
        <w:rPr>
          <w:sz w:val="20"/>
          <w:szCs w:val="20"/>
        </w:rPr>
        <w:t>о</w:t>
      </w:r>
      <w:r w:rsidRPr="00821A90">
        <w:rPr>
          <w:sz w:val="20"/>
          <w:szCs w:val="20"/>
        </w:rPr>
        <w:t>лов скважин от вертикали составляли 3,24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24,86 м. Некоторые исследования выполнялось с помощью двух повто</w:t>
      </w:r>
      <w:r w:rsidRPr="00821A90">
        <w:rPr>
          <w:sz w:val="20"/>
          <w:szCs w:val="20"/>
        </w:rPr>
        <w:t>р</w:t>
      </w:r>
      <w:r w:rsidRPr="00821A90">
        <w:rPr>
          <w:sz w:val="20"/>
          <w:szCs w:val="20"/>
        </w:rPr>
        <w:t>ных измерений (таблица). Можно видеть, что различия в определении максимального отклонения находятся в пр</w:t>
      </w:r>
      <w:r w:rsidRPr="00821A90">
        <w:rPr>
          <w:sz w:val="20"/>
          <w:szCs w:val="20"/>
        </w:rPr>
        <w:t>е</w:t>
      </w:r>
      <w:r w:rsidRPr="00821A90">
        <w:rPr>
          <w:sz w:val="20"/>
          <w:szCs w:val="20"/>
        </w:rPr>
        <w:t>делах 2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11 %. Такие различия отмечаются и в измерении ориентировки ствола скважин. На рисунке, вверху прив</w:t>
      </w:r>
      <w:r w:rsidRPr="00821A90">
        <w:rPr>
          <w:sz w:val="20"/>
          <w:szCs w:val="20"/>
        </w:rPr>
        <w:t>е</w:t>
      </w:r>
      <w:r w:rsidRPr="00821A90">
        <w:rPr>
          <w:sz w:val="20"/>
          <w:szCs w:val="20"/>
        </w:rPr>
        <w:t>дено сравнение двух планов по данным измерения 1 и 2 скв</w:t>
      </w:r>
      <w:r w:rsidRPr="00821A90">
        <w:rPr>
          <w:sz w:val="20"/>
          <w:szCs w:val="20"/>
          <w:lang w:val="be-BY"/>
        </w:rPr>
        <w:t>. </w:t>
      </w:r>
      <w:r w:rsidRPr="00821A90">
        <w:rPr>
          <w:sz w:val="20"/>
          <w:szCs w:val="20"/>
        </w:rPr>
        <w:t>Гарлыкская 7К. Отклонение ствола скважины прои</w:t>
      </w:r>
      <w:r w:rsidRPr="00821A90">
        <w:rPr>
          <w:sz w:val="20"/>
          <w:szCs w:val="20"/>
        </w:rPr>
        <w:t>с</w:t>
      </w:r>
      <w:r w:rsidRPr="00821A90">
        <w:rPr>
          <w:sz w:val="20"/>
          <w:szCs w:val="20"/>
        </w:rPr>
        <w:t>ходит на север 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> первое измерение показало азимут 355, а второе </w:t>
      </w:r>
      <w:r w:rsidRPr="00821A90">
        <w:rPr>
          <w:bCs/>
          <w:sz w:val="20"/>
          <w:szCs w:val="22"/>
        </w:rPr>
        <w:t>―</w:t>
      </w:r>
      <w:r w:rsidRPr="00821A90">
        <w:rPr>
          <w:sz w:val="20"/>
          <w:szCs w:val="20"/>
        </w:rPr>
        <w:t xml:space="preserve"> 5. </w:t>
      </w:r>
    </w:p>
    <w:p w:rsidR="00C24461" w:rsidRPr="006576C7" w:rsidRDefault="00C24461" w:rsidP="00C24461">
      <w:pPr>
        <w:ind w:firstLine="340"/>
        <w:jc w:val="both"/>
        <w:rPr>
          <w:sz w:val="20"/>
          <w:szCs w:val="20"/>
        </w:rPr>
      </w:pPr>
      <w:r w:rsidRPr="00821A90">
        <w:rPr>
          <w:i/>
          <w:sz w:val="20"/>
          <w:szCs w:val="20"/>
        </w:rPr>
        <w:t>Обсуждение результатов</w:t>
      </w:r>
      <w:r w:rsidRPr="00821A90">
        <w:rPr>
          <w:sz w:val="20"/>
          <w:szCs w:val="20"/>
        </w:rPr>
        <w:t>. В соотв</w:t>
      </w:r>
      <w:r>
        <w:rPr>
          <w:sz w:val="20"/>
          <w:szCs w:val="20"/>
        </w:rPr>
        <w:t>етствии с инструкцией [1], расчё</w:t>
      </w:r>
      <w:r w:rsidRPr="00821A90">
        <w:rPr>
          <w:sz w:val="20"/>
          <w:szCs w:val="20"/>
        </w:rPr>
        <w:t>ты траектории инклинограммы проводятся пу</w:t>
      </w:r>
      <w:r>
        <w:rPr>
          <w:sz w:val="20"/>
          <w:szCs w:val="20"/>
        </w:rPr>
        <w:t>тё</w:t>
      </w:r>
      <w:r w:rsidRPr="00821A90">
        <w:rPr>
          <w:sz w:val="20"/>
          <w:szCs w:val="20"/>
        </w:rPr>
        <w:t>м усреднения зенитного и азимутального углов в кровле и подошве измеряемого интервала. Усреднение аз</w:t>
      </w:r>
      <w:r w:rsidRPr="00821A90">
        <w:rPr>
          <w:sz w:val="20"/>
          <w:szCs w:val="20"/>
        </w:rPr>
        <w:t>и</w:t>
      </w:r>
      <w:r w:rsidRPr="00821A90">
        <w:rPr>
          <w:sz w:val="20"/>
          <w:szCs w:val="20"/>
        </w:rPr>
        <w:t>мутов при отклонении ствола скважины к северу часто приводит к ложному построению инклинограммы на о</w:t>
      </w:r>
      <w:r w:rsidRPr="00821A90">
        <w:rPr>
          <w:sz w:val="20"/>
          <w:szCs w:val="20"/>
        </w:rPr>
        <w:t>т</w:t>
      </w:r>
      <w:r w:rsidRPr="00821A90">
        <w:rPr>
          <w:sz w:val="20"/>
          <w:szCs w:val="20"/>
        </w:rPr>
        <w:t>дельных участках. Действительно, усредняя два азимута: 5 и 355, получаем среднее значение 180, т. е. южное направление откл</w:t>
      </w:r>
      <w:r w:rsidRPr="00821A90">
        <w:rPr>
          <w:sz w:val="20"/>
          <w:szCs w:val="20"/>
        </w:rPr>
        <w:t>о</w:t>
      </w:r>
      <w:r w:rsidRPr="00821A90">
        <w:rPr>
          <w:sz w:val="20"/>
          <w:szCs w:val="20"/>
        </w:rPr>
        <w:t>нения ствола скважины. В результате, инклинограмма имеет вид «пилы» с зазубринами, как это видно на рисунке, но общее северное направление отклонения ствола скважины сохраняется. По-видимому, нек</w:t>
      </w:r>
      <w:r w:rsidRPr="00821A90">
        <w:rPr>
          <w:sz w:val="20"/>
          <w:szCs w:val="20"/>
        </w:rPr>
        <w:t>о</w:t>
      </w:r>
      <w:r w:rsidRPr="00821A90">
        <w:rPr>
          <w:sz w:val="20"/>
          <w:szCs w:val="20"/>
        </w:rPr>
        <w:t>торые положения инструкции [1], касающиеся методов усреднения азимутов, нужд</w:t>
      </w:r>
      <w:r w:rsidRPr="00821A90">
        <w:rPr>
          <w:sz w:val="20"/>
          <w:szCs w:val="20"/>
        </w:rPr>
        <w:t>а</w:t>
      </w:r>
      <w:r w:rsidRPr="00821A90">
        <w:rPr>
          <w:sz w:val="20"/>
          <w:szCs w:val="20"/>
        </w:rPr>
        <w:t>ются в доработке.</w:t>
      </w:r>
    </w:p>
    <w:p w:rsidR="00C24461" w:rsidRPr="00976277" w:rsidRDefault="00C24461" w:rsidP="00C24461">
      <w:pPr>
        <w:jc w:val="both"/>
        <w:rPr>
          <w:sz w:val="18"/>
          <w:szCs w:val="20"/>
        </w:rPr>
      </w:pPr>
    </w:p>
    <w:p w:rsidR="00C24461" w:rsidRPr="00EC4F05" w:rsidRDefault="00C24461" w:rsidP="00C24461">
      <w:pPr>
        <w:jc w:val="both"/>
        <w:rPr>
          <w:b/>
          <w:sz w:val="18"/>
          <w:szCs w:val="20"/>
        </w:rPr>
      </w:pPr>
      <w:r w:rsidRPr="00EC4F05">
        <w:rPr>
          <w:sz w:val="18"/>
          <w:szCs w:val="20"/>
        </w:rPr>
        <w:t>Таблица </w:t>
      </w:r>
      <w:r w:rsidRPr="00EC4F05">
        <w:rPr>
          <w:color w:val="000000"/>
          <w:sz w:val="20"/>
          <w:szCs w:val="20"/>
        </w:rPr>
        <w:t>―</w:t>
      </w:r>
      <w:r w:rsidRPr="00EC4F05">
        <w:rPr>
          <w:sz w:val="18"/>
          <w:szCs w:val="20"/>
        </w:rPr>
        <w:t> </w:t>
      </w:r>
      <w:r w:rsidRPr="00EC4F05">
        <w:rPr>
          <w:b/>
          <w:sz w:val="18"/>
          <w:szCs w:val="20"/>
        </w:rPr>
        <w:t xml:space="preserve">Сравнение максимальных отклонений при повторных инклинометрических измерениях </w:t>
      </w:r>
    </w:p>
    <w:p w:rsidR="00C24461" w:rsidRPr="00EC4F05" w:rsidRDefault="00C24461" w:rsidP="00C24461">
      <w:pPr>
        <w:ind w:firstLine="964"/>
        <w:jc w:val="both"/>
        <w:rPr>
          <w:sz w:val="20"/>
          <w:szCs w:val="20"/>
        </w:rPr>
      </w:pPr>
      <w:r w:rsidRPr="00EC4F05">
        <w:rPr>
          <w:b/>
          <w:sz w:val="18"/>
          <w:szCs w:val="20"/>
        </w:rPr>
        <w:t>в скважинах Гарлыкского м</w:t>
      </w:r>
      <w:r w:rsidRPr="00EC4F05">
        <w:rPr>
          <w:b/>
          <w:sz w:val="18"/>
          <w:szCs w:val="20"/>
        </w:rPr>
        <w:t>е</w:t>
      </w:r>
      <w:r w:rsidRPr="00EC4F05">
        <w:rPr>
          <w:b/>
          <w:sz w:val="18"/>
          <w:szCs w:val="20"/>
        </w:rPr>
        <w:t>сторождения</w:t>
      </w:r>
      <w:r w:rsidRPr="00EC4F05">
        <w:rPr>
          <w:sz w:val="18"/>
          <w:szCs w:val="20"/>
        </w:rPr>
        <w:t>, м</w:t>
      </w:r>
    </w:p>
    <w:p w:rsidR="00C24461" w:rsidRPr="00EC4F05" w:rsidRDefault="00C24461" w:rsidP="00C24461">
      <w:pPr>
        <w:jc w:val="both"/>
        <w:rPr>
          <w:sz w:val="16"/>
          <w:szCs w:val="16"/>
        </w:rPr>
      </w:pPr>
    </w:p>
    <w:tbl>
      <w:tblPr>
        <w:tblW w:w="99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4"/>
        <w:gridCol w:w="2495"/>
        <w:gridCol w:w="2495"/>
        <w:gridCol w:w="2495"/>
      </w:tblGrid>
      <w:tr w:rsidR="00C24461" w:rsidRPr="00EC4F05" w:rsidTr="00DB6818"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Измерение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Гарл. 5К ствол 1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Гарл. 5К ствол 2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Гарл. 7К ствол 1</w:t>
            </w:r>
          </w:p>
        </w:tc>
      </w:tr>
      <w:tr w:rsidR="00C24461" w:rsidRPr="00EC4F05" w:rsidTr="00DB6818"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1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tabs>
                <w:tab w:val="center" w:pos="1158"/>
              </w:tabs>
              <w:jc w:val="center"/>
              <w:rPr>
                <w:sz w:val="18"/>
                <w:szCs w:val="20"/>
                <w:lang w:val="en-US"/>
              </w:rPr>
            </w:pPr>
            <w:r w:rsidRPr="00EC4F05">
              <w:rPr>
                <w:sz w:val="18"/>
                <w:szCs w:val="20"/>
              </w:rPr>
              <w:t>10,30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5,26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4,79</w:t>
            </w:r>
          </w:p>
        </w:tc>
      </w:tr>
      <w:tr w:rsidR="00C24461" w:rsidRPr="00EC4F05" w:rsidTr="00DB6818"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2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10,07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5,85</w:t>
            </w:r>
          </w:p>
        </w:tc>
        <w:tc>
          <w:tcPr>
            <w:tcW w:w="1250" w:type="pct"/>
          </w:tcPr>
          <w:p w:rsidR="00C24461" w:rsidRPr="00EC4F05" w:rsidRDefault="00C24461" w:rsidP="00DB6818">
            <w:pPr>
              <w:jc w:val="center"/>
              <w:rPr>
                <w:sz w:val="18"/>
                <w:szCs w:val="20"/>
              </w:rPr>
            </w:pPr>
            <w:r w:rsidRPr="00EC4F05">
              <w:rPr>
                <w:sz w:val="18"/>
                <w:szCs w:val="20"/>
              </w:rPr>
              <w:t>5,22</w:t>
            </w:r>
          </w:p>
        </w:tc>
      </w:tr>
    </w:tbl>
    <w:p w:rsidR="00C24461" w:rsidRPr="00EC4F05" w:rsidRDefault="00C24461" w:rsidP="00C24461">
      <w:pPr>
        <w:jc w:val="both"/>
        <w:rPr>
          <w:sz w:val="18"/>
          <w:szCs w:val="20"/>
        </w:rPr>
      </w:pPr>
    </w:p>
    <w:p w:rsidR="00C24461" w:rsidRPr="00EC4F05" w:rsidRDefault="00C24461" w:rsidP="00C24461">
      <w:pPr>
        <w:numPr>
          <w:ilvl w:val="0"/>
          <w:numId w:val="1"/>
        </w:numPr>
        <w:jc w:val="both"/>
        <w:rPr>
          <w:sz w:val="16"/>
          <w:szCs w:val="20"/>
        </w:rPr>
      </w:pPr>
      <w:r w:rsidRPr="00EC4F05">
        <w:rPr>
          <w:sz w:val="16"/>
          <w:szCs w:val="20"/>
        </w:rPr>
        <w:t>Инструкция по проведению инклинометрических исследований в скважинах</w:t>
      </w:r>
      <w:r w:rsidRPr="00EC4F05">
        <w:rPr>
          <w:sz w:val="16"/>
          <w:szCs w:val="20"/>
          <w:lang w:val="be-BY"/>
        </w:rPr>
        <w:t xml:space="preserve">. М.: </w:t>
      </w:r>
      <w:r w:rsidRPr="00EC4F05">
        <w:rPr>
          <w:sz w:val="16"/>
          <w:szCs w:val="20"/>
        </w:rPr>
        <w:t>М-во геологии СССР, 1989. 14</w:t>
      </w:r>
      <w:r w:rsidRPr="00EC4F05">
        <w:rPr>
          <w:sz w:val="16"/>
          <w:szCs w:val="20"/>
          <w:lang w:val="en-US"/>
        </w:rPr>
        <w:t> </w:t>
      </w:r>
      <w:r w:rsidRPr="00EC4F05">
        <w:rPr>
          <w:sz w:val="16"/>
          <w:szCs w:val="20"/>
        </w:rPr>
        <w:t>с.</w:t>
      </w:r>
    </w:p>
    <w:p w:rsidR="00C24461" w:rsidRDefault="00C24461" w:rsidP="00C24461">
      <w:pPr>
        <w:jc w:val="center"/>
        <w:rPr>
          <w:b/>
          <w:sz w:val="20"/>
          <w:szCs w:val="20"/>
        </w:rPr>
      </w:pPr>
    </w:p>
    <w:p w:rsidR="00C24461" w:rsidRPr="00F07253" w:rsidRDefault="00C24461" w:rsidP="00C24461">
      <w:pPr>
        <w:jc w:val="center"/>
        <w:rPr>
          <w:b/>
          <w:sz w:val="20"/>
          <w:szCs w:val="20"/>
        </w:rPr>
      </w:pPr>
    </w:p>
    <w:p w:rsidR="009069C9" w:rsidRDefault="00C24461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50A0C"/>
    <w:multiLevelType w:val="hybridMultilevel"/>
    <w:tmpl w:val="64C4302A"/>
    <w:lvl w:ilvl="0" w:tplc="F2707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4461"/>
    <w:rsid w:val="00196E57"/>
    <w:rsid w:val="003B6038"/>
    <w:rsid w:val="004A7217"/>
    <w:rsid w:val="00593281"/>
    <w:rsid w:val="00720BC4"/>
    <w:rsid w:val="00C2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61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4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461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6246</Characters>
  <Application>Microsoft Office Word</Application>
  <DocSecurity>0</DocSecurity>
  <Lines>52</Lines>
  <Paragraphs>14</Paragraphs>
  <ScaleCrop>false</ScaleCrop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2013-09-24T08:45:00Z</dcterms:created>
  <dcterms:modified xsi:type="dcterms:W3CDTF">2013-09-24T08:45:00Z</dcterms:modified>
</cp:coreProperties>
</file>