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B" w:rsidRPr="00E72F58" w:rsidRDefault="00EA357B" w:rsidP="00EA357B">
      <w:pPr>
        <w:jc w:val="center"/>
        <w:rPr>
          <w:caps/>
          <w:sz w:val="20"/>
          <w:szCs w:val="20"/>
          <w:highlight w:val="yellow"/>
        </w:rPr>
      </w:pPr>
    </w:p>
    <w:p w:rsidR="00EA357B" w:rsidRPr="00345A29" w:rsidRDefault="00EA357B" w:rsidP="00EA357B">
      <w:pPr>
        <w:jc w:val="center"/>
        <w:rPr>
          <w:b/>
          <w:sz w:val="20"/>
          <w:szCs w:val="20"/>
          <w:vertAlign w:val="superscript"/>
        </w:rPr>
      </w:pPr>
      <w:bookmarkStart w:id="0" w:name="OLE_LINK1"/>
      <w:bookmarkStart w:id="1" w:name="OLE_LINK2"/>
      <w:r w:rsidRPr="00345A29">
        <w:rPr>
          <w:b/>
          <w:sz w:val="20"/>
          <w:szCs w:val="20"/>
        </w:rPr>
        <w:t>П. С. Микляев</w:t>
      </w:r>
      <w:proofErr w:type="gramStart"/>
      <w:r w:rsidRPr="00345A29">
        <w:rPr>
          <w:sz w:val="20"/>
          <w:szCs w:val="20"/>
          <w:vertAlign w:val="superscript"/>
        </w:rPr>
        <w:t>1</w:t>
      </w:r>
      <w:proofErr w:type="gramEnd"/>
      <w:r w:rsidRPr="00345A29">
        <w:rPr>
          <w:b/>
          <w:sz w:val="20"/>
          <w:szCs w:val="20"/>
        </w:rPr>
        <w:t>, В. М. Макеев</w:t>
      </w:r>
      <w:r w:rsidRPr="00345A29">
        <w:rPr>
          <w:sz w:val="20"/>
          <w:szCs w:val="20"/>
          <w:vertAlign w:val="superscript"/>
        </w:rPr>
        <w:t>1</w:t>
      </w:r>
      <w:r w:rsidRPr="00345A29">
        <w:rPr>
          <w:b/>
          <w:sz w:val="20"/>
          <w:szCs w:val="20"/>
        </w:rPr>
        <w:t>,</w:t>
      </w:r>
      <w:r w:rsidRPr="00345A29">
        <w:rPr>
          <w:sz w:val="20"/>
          <w:szCs w:val="20"/>
        </w:rPr>
        <w:t xml:space="preserve"> </w:t>
      </w:r>
      <w:r w:rsidRPr="00345A29">
        <w:rPr>
          <w:b/>
          <w:sz w:val="20"/>
          <w:szCs w:val="20"/>
        </w:rPr>
        <w:t>Т. Б. Петрова</w:t>
      </w:r>
      <w:r w:rsidRPr="00345A29">
        <w:rPr>
          <w:sz w:val="20"/>
          <w:szCs w:val="20"/>
          <w:vertAlign w:val="superscript"/>
        </w:rPr>
        <w:t>2</w:t>
      </w:r>
      <w:r w:rsidRPr="00345A29">
        <w:rPr>
          <w:b/>
          <w:sz w:val="20"/>
          <w:szCs w:val="20"/>
        </w:rPr>
        <w:t>, А. В. Беляшов</w:t>
      </w:r>
      <w:r w:rsidRPr="00345A29">
        <w:rPr>
          <w:sz w:val="20"/>
          <w:szCs w:val="20"/>
          <w:vertAlign w:val="superscript"/>
        </w:rPr>
        <w:t>3</w:t>
      </w:r>
      <w:r w:rsidRPr="00345A29">
        <w:rPr>
          <w:b/>
          <w:sz w:val="20"/>
          <w:szCs w:val="20"/>
        </w:rPr>
        <w:t>, С. М. Плоскин</w:t>
      </w:r>
      <w:r w:rsidRPr="00345A29">
        <w:rPr>
          <w:sz w:val="20"/>
          <w:szCs w:val="20"/>
          <w:vertAlign w:val="superscript"/>
        </w:rPr>
        <w:t>3</w:t>
      </w:r>
      <w:r w:rsidRPr="00345A29">
        <w:rPr>
          <w:b/>
          <w:sz w:val="20"/>
          <w:szCs w:val="20"/>
        </w:rPr>
        <w:t>, А. А. Захаров</w:t>
      </w:r>
      <w:r w:rsidRPr="00345A29">
        <w:rPr>
          <w:sz w:val="20"/>
          <w:szCs w:val="20"/>
          <w:vertAlign w:val="superscript"/>
        </w:rPr>
        <w:t>4</w:t>
      </w:r>
    </w:p>
    <w:p w:rsidR="00EA357B" w:rsidRPr="0002755D" w:rsidRDefault="00EA357B" w:rsidP="00EA357B">
      <w:pPr>
        <w:jc w:val="center"/>
        <w:rPr>
          <w:sz w:val="18"/>
          <w:szCs w:val="18"/>
        </w:rPr>
      </w:pPr>
    </w:p>
    <w:bookmarkEnd w:id="0"/>
    <w:bookmarkEnd w:id="1"/>
    <w:p w:rsidR="00EA357B" w:rsidRPr="0002755D" w:rsidRDefault="00EA357B" w:rsidP="00EA357B">
      <w:pPr>
        <w:jc w:val="center"/>
        <w:rPr>
          <w:sz w:val="18"/>
          <w:szCs w:val="18"/>
        </w:rPr>
      </w:pPr>
      <w:r w:rsidRPr="0002755D">
        <w:rPr>
          <w:sz w:val="18"/>
          <w:szCs w:val="18"/>
          <w:vertAlign w:val="superscript"/>
        </w:rPr>
        <w:t>1</w:t>
      </w:r>
      <w:r w:rsidRPr="0002755D">
        <w:rPr>
          <w:sz w:val="18"/>
          <w:szCs w:val="18"/>
        </w:rPr>
        <w:t> Институт геоэкологии Российской академии наук</w:t>
      </w:r>
    </w:p>
    <w:p w:rsidR="00EA357B" w:rsidRPr="0002755D" w:rsidRDefault="00EA357B" w:rsidP="00EA357B">
      <w:pPr>
        <w:jc w:val="center"/>
        <w:rPr>
          <w:sz w:val="18"/>
          <w:szCs w:val="18"/>
          <w:highlight w:val="yellow"/>
        </w:rPr>
      </w:pPr>
      <w:r w:rsidRPr="0002755D">
        <w:rPr>
          <w:sz w:val="18"/>
          <w:szCs w:val="18"/>
          <w:vertAlign w:val="superscript"/>
        </w:rPr>
        <w:t>2</w:t>
      </w:r>
      <w:r w:rsidRPr="0002755D">
        <w:rPr>
          <w:sz w:val="18"/>
          <w:szCs w:val="18"/>
        </w:rPr>
        <w:t> Московский государственный университет</w:t>
      </w:r>
    </w:p>
    <w:p w:rsidR="00EA357B" w:rsidRPr="0002755D" w:rsidRDefault="00EA357B" w:rsidP="00EA357B">
      <w:pPr>
        <w:jc w:val="center"/>
        <w:rPr>
          <w:sz w:val="18"/>
          <w:szCs w:val="18"/>
        </w:rPr>
      </w:pPr>
      <w:r w:rsidRPr="0002755D">
        <w:rPr>
          <w:sz w:val="18"/>
          <w:szCs w:val="18"/>
          <w:vertAlign w:val="superscript"/>
        </w:rPr>
        <w:t>3</w:t>
      </w:r>
      <w:r w:rsidRPr="0002755D">
        <w:rPr>
          <w:sz w:val="18"/>
          <w:szCs w:val="18"/>
        </w:rPr>
        <w:t xml:space="preserve"> Республиканское унитарное предприятие «Белгеология» </w:t>
      </w:r>
    </w:p>
    <w:p w:rsidR="00EA357B" w:rsidRPr="0002755D" w:rsidRDefault="00EA357B" w:rsidP="00EA357B">
      <w:pPr>
        <w:jc w:val="center"/>
        <w:rPr>
          <w:sz w:val="18"/>
          <w:szCs w:val="18"/>
        </w:rPr>
      </w:pPr>
      <w:r w:rsidRPr="0002755D">
        <w:rPr>
          <w:sz w:val="18"/>
          <w:szCs w:val="18"/>
          <w:vertAlign w:val="superscript"/>
        </w:rPr>
        <w:t>4</w:t>
      </w:r>
      <w:r w:rsidRPr="0002755D">
        <w:rPr>
          <w:sz w:val="18"/>
          <w:szCs w:val="18"/>
        </w:rPr>
        <w:t> Институт природопользования НАН Беларуси</w:t>
      </w:r>
    </w:p>
    <w:p w:rsidR="00EA357B" w:rsidRPr="0002755D" w:rsidRDefault="00EA357B" w:rsidP="00EA357B">
      <w:pPr>
        <w:jc w:val="center"/>
        <w:rPr>
          <w:caps/>
          <w:sz w:val="18"/>
          <w:szCs w:val="18"/>
          <w:highlight w:val="yellow"/>
        </w:rPr>
      </w:pPr>
    </w:p>
    <w:p w:rsidR="00EA357B" w:rsidRPr="00345A29" w:rsidRDefault="00EA357B" w:rsidP="00EA357B">
      <w:pPr>
        <w:jc w:val="center"/>
        <w:rPr>
          <w:b/>
          <w:caps/>
          <w:sz w:val="20"/>
          <w:szCs w:val="20"/>
        </w:rPr>
      </w:pPr>
      <w:r w:rsidRPr="00345A29">
        <w:rPr>
          <w:b/>
          <w:caps/>
          <w:sz w:val="20"/>
          <w:szCs w:val="20"/>
        </w:rPr>
        <w:t>Опыт индикации геодинамически активных зон эманационным методом</w:t>
      </w:r>
    </w:p>
    <w:p w:rsidR="00EA357B" w:rsidRPr="0002755D" w:rsidRDefault="00EA357B" w:rsidP="00EA357B">
      <w:pPr>
        <w:jc w:val="both"/>
        <w:rPr>
          <w:caps/>
          <w:sz w:val="20"/>
          <w:szCs w:val="20"/>
        </w:rPr>
      </w:pPr>
    </w:p>
    <w:p w:rsidR="00EA357B" w:rsidRPr="00345A29" w:rsidRDefault="00EA357B" w:rsidP="00EA357B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Одним из эффективных методов индикации геодинамически активных зон на платформенных территориях я</w:t>
      </w:r>
      <w:r w:rsidRPr="00345A29">
        <w:rPr>
          <w:sz w:val="20"/>
          <w:szCs w:val="20"/>
        </w:rPr>
        <w:t>в</w:t>
      </w:r>
      <w:r w:rsidRPr="00345A29">
        <w:rPr>
          <w:sz w:val="20"/>
          <w:szCs w:val="20"/>
        </w:rPr>
        <w:t>ляется эманационный (радоновый) метод. В основе метода лежит известная связь радонового поля с интенсивн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стью газопереноса в массиве пород. Благодаря чему геодинамически активные зоны, для которых свойственны п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вышенная трещиноватость и раздробленность геологической среды, могут трассироваться по аномально высоким значениям параметров радонового поля [2, 3]. Под геодинамически активными зонами понимаются участки (объ</w:t>
      </w:r>
      <w:r w:rsidRPr="00345A29">
        <w:rPr>
          <w:sz w:val="20"/>
          <w:szCs w:val="20"/>
        </w:rPr>
        <w:t>ё</w:t>
      </w:r>
      <w:r w:rsidRPr="00345A29">
        <w:rPr>
          <w:sz w:val="20"/>
          <w:szCs w:val="20"/>
        </w:rPr>
        <w:t>мы) земной коры платформ, характеризующиеся повышенными современными напряжениями и деформациями. Их выявление актуально с точки зрения оценки сейсмотектонических условий и обеспечения геоэкологической усто</w:t>
      </w:r>
      <w:r w:rsidRPr="00345A29">
        <w:rPr>
          <w:sz w:val="20"/>
          <w:szCs w:val="20"/>
        </w:rPr>
        <w:t>й</w:t>
      </w:r>
      <w:r w:rsidRPr="00345A29">
        <w:rPr>
          <w:sz w:val="20"/>
          <w:szCs w:val="20"/>
        </w:rPr>
        <w:t>чивости территорий. В т. ч., исследования направлены на оценку древних разломов с точки зрения их современной активн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сти.</w:t>
      </w:r>
    </w:p>
    <w:p w:rsidR="00EA357B" w:rsidRPr="00345A29" w:rsidRDefault="00EA357B" w:rsidP="00EA357B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>Эманационные исследования были проведены в Свирско-Ошмянском районе, в окрестностях ст. Гудогай. В пределах исследуемой территории в кристаллическом фундаменте выделен ряд разломов, в т</w:t>
      </w:r>
      <w:r>
        <w:rPr>
          <w:sz w:val="20"/>
          <w:szCs w:val="20"/>
        </w:rPr>
        <w:t>. </w:t>
      </w:r>
      <w:r w:rsidRPr="00345A29">
        <w:rPr>
          <w:sz w:val="20"/>
          <w:szCs w:val="20"/>
        </w:rPr>
        <w:t>ч</w:t>
      </w:r>
      <w:r>
        <w:rPr>
          <w:sz w:val="20"/>
          <w:szCs w:val="20"/>
        </w:rPr>
        <w:t>.</w:t>
      </w:r>
      <w:r w:rsidRPr="00345A29">
        <w:rPr>
          <w:sz w:val="20"/>
          <w:szCs w:val="20"/>
        </w:rPr>
        <w:t>, региональный Ошмянский разлом. По данным Р. Е Айзберга [1], к этому разлому тяготеет крупная Ошмянско-Лосевская фле</w:t>
      </w:r>
      <w:r w:rsidRPr="00345A29">
        <w:rPr>
          <w:sz w:val="20"/>
          <w:szCs w:val="20"/>
        </w:rPr>
        <w:t>к</w:t>
      </w:r>
      <w:r w:rsidRPr="00345A29">
        <w:rPr>
          <w:sz w:val="20"/>
          <w:szCs w:val="20"/>
        </w:rPr>
        <w:t>сурно-разрывная зона новейших нарушений, с которой связывается современная сейсмическая активность. Согла</w:t>
      </w:r>
      <w:r w:rsidRPr="00345A29">
        <w:rPr>
          <w:sz w:val="20"/>
          <w:szCs w:val="20"/>
        </w:rPr>
        <w:t>с</w:t>
      </w:r>
      <w:r w:rsidRPr="00345A29">
        <w:rPr>
          <w:sz w:val="20"/>
          <w:szCs w:val="20"/>
        </w:rPr>
        <w:t>но Р. Е. Айзбергу, в пределах данной зоны расположен эпицентр наиболее сильного в регионе землетрясения, пр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 xml:space="preserve">изошедшего в </w:t>
      </w:r>
      <w:smartTag w:uri="urn:schemas-microsoft-com:office:smarttags" w:element="metricconverter">
        <w:smartTagPr>
          <w:attr w:name="ProductID" w:val="1909 г"/>
        </w:smartTagPr>
        <w:r w:rsidRPr="00345A29">
          <w:rPr>
            <w:sz w:val="20"/>
            <w:szCs w:val="20"/>
          </w:rPr>
          <w:t>1909 г</w:t>
        </w:r>
      </w:smartTag>
      <w:r w:rsidRPr="00345A29">
        <w:rPr>
          <w:sz w:val="20"/>
          <w:szCs w:val="20"/>
        </w:rPr>
        <w:t xml:space="preserve"> в районе ст. Гудогай.</w:t>
      </w:r>
    </w:p>
    <w:p w:rsidR="00EA357B" w:rsidRPr="00345A29" w:rsidRDefault="00EA357B" w:rsidP="00EA357B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 xml:space="preserve">Поставленные задачи решались комплексом радиометрических методов. Полевые работы проведены в августе </w:t>
      </w:r>
      <w:smartTag w:uri="urn:schemas-microsoft-com:office:smarttags" w:element="metricconverter">
        <w:smartTagPr>
          <w:attr w:name="ProductID" w:val="2012 г"/>
        </w:smartTagPr>
        <w:r w:rsidRPr="00345A29">
          <w:rPr>
            <w:sz w:val="20"/>
            <w:szCs w:val="20"/>
          </w:rPr>
          <w:t>2012 г</w:t>
        </w:r>
      </w:smartTag>
      <w:r w:rsidRPr="00345A29">
        <w:rPr>
          <w:sz w:val="20"/>
          <w:szCs w:val="20"/>
        </w:rPr>
        <w:t xml:space="preserve">. В состав радиометрических исследований входили: измерения плотности потока </w:t>
      </w:r>
      <w:r w:rsidRPr="00345A29">
        <w:rPr>
          <w:sz w:val="20"/>
          <w:szCs w:val="20"/>
          <w:lang w:val="en-US"/>
        </w:rPr>
        <w:t>Rn</w:t>
      </w:r>
      <w:r w:rsidRPr="00345A29">
        <w:rPr>
          <w:sz w:val="20"/>
          <w:szCs w:val="20"/>
        </w:rPr>
        <w:t xml:space="preserve"> (ППР) с поверхности грунта методом сорбции </w:t>
      </w:r>
      <w:r w:rsidRPr="00345A29">
        <w:rPr>
          <w:sz w:val="20"/>
          <w:szCs w:val="20"/>
          <w:lang w:val="en-US"/>
        </w:rPr>
        <w:t>Rn</w:t>
      </w:r>
      <w:r w:rsidRPr="00345A29">
        <w:rPr>
          <w:sz w:val="20"/>
          <w:szCs w:val="20"/>
        </w:rPr>
        <w:t xml:space="preserve"> на активированный уголь; </w:t>
      </w:r>
      <w:bookmarkStart w:id="2" w:name="OLE_LINK39"/>
      <w:bookmarkStart w:id="3" w:name="OLE_LINK40"/>
      <w:r w:rsidRPr="00345A29">
        <w:rPr>
          <w:sz w:val="20"/>
          <w:szCs w:val="20"/>
        </w:rPr>
        <w:t xml:space="preserve">измерения удельной активности радионуклидов в грунтах полевым </w:t>
      </w:r>
      <w:proofErr w:type="gramStart"/>
      <w:r w:rsidRPr="00345A29">
        <w:rPr>
          <w:sz w:val="20"/>
          <w:szCs w:val="20"/>
        </w:rPr>
        <w:t>гамма-спектрометрическим</w:t>
      </w:r>
      <w:proofErr w:type="gramEnd"/>
      <w:r w:rsidRPr="00345A29">
        <w:rPr>
          <w:sz w:val="20"/>
          <w:szCs w:val="20"/>
        </w:rPr>
        <w:t xml:space="preserve"> методом</w:t>
      </w:r>
      <w:bookmarkEnd w:id="2"/>
      <w:bookmarkEnd w:id="3"/>
      <w:r w:rsidRPr="00345A29">
        <w:rPr>
          <w:sz w:val="20"/>
          <w:szCs w:val="20"/>
        </w:rPr>
        <w:t xml:space="preserve">; измерения </w:t>
      </w:r>
      <w:bookmarkStart w:id="4" w:name="OLE_LINK29"/>
      <w:bookmarkStart w:id="5" w:name="OLE_LINK30"/>
      <w:r w:rsidRPr="00345A29">
        <w:rPr>
          <w:sz w:val="20"/>
          <w:szCs w:val="20"/>
        </w:rPr>
        <w:t>мощности амбиентного эквивалента дозы (М</w:t>
      </w:r>
      <w:r w:rsidRPr="00345A29">
        <w:rPr>
          <w:sz w:val="20"/>
          <w:szCs w:val="20"/>
        </w:rPr>
        <w:t>А</w:t>
      </w:r>
      <w:r w:rsidRPr="00345A29">
        <w:rPr>
          <w:sz w:val="20"/>
          <w:szCs w:val="20"/>
        </w:rPr>
        <w:t>ЭД) гамма-излучения на поверхности грунта</w:t>
      </w:r>
      <w:bookmarkEnd w:id="4"/>
      <w:bookmarkEnd w:id="5"/>
      <w:r w:rsidRPr="00345A29">
        <w:rPr>
          <w:sz w:val="20"/>
          <w:szCs w:val="20"/>
        </w:rPr>
        <w:t>.</w:t>
      </w:r>
    </w:p>
    <w:p w:rsidR="00EA357B" w:rsidRPr="00345A29" w:rsidRDefault="00EA357B" w:rsidP="00EA357B">
      <w:pPr>
        <w:ind w:firstLine="340"/>
        <w:jc w:val="both"/>
        <w:rPr>
          <w:sz w:val="20"/>
          <w:szCs w:val="20"/>
        </w:rPr>
      </w:pPr>
      <w:r w:rsidRPr="00345A29">
        <w:rPr>
          <w:sz w:val="20"/>
          <w:szCs w:val="20"/>
        </w:rPr>
        <w:t xml:space="preserve">Измерения ППР с поверхности грунта проводились без принудительного отбора почвенного воздуха методом сорбции </w:t>
      </w:r>
      <w:r w:rsidRPr="00345A29">
        <w:rPr>
          <w:sz w:val="20"/>
          <w:szCs w:val="20"/>
          <w:lang w:val="en-US"/>
        </w:rPr>
        <w:t>Rn</w:t>
      </w:r>
      <w:r w:rsidRPr="00345A29">
        <w:rPr>
          <w:sz w:val="20"/>
          <w:szCs w:val="20"/>
        </w:rPr>
        <w:t xml:space="preserve"> на активированном угле. Использовалось оборудование, входящее в комплект измерительного ко</w:t>
      </w:r>
      <w:r w:rsidRPr="00345A29">
        <w:rPr>
          <w:sz w:val="20"/>
          <w:szCs w:val="20"/>
        </w:rPr>
        <w:t>м</w:t>
      </w:r>
      <w:r w:rsidRPr="00345A29">
        <w:rPr>
          <w:sz w:val="20"/>
          <w:szCs w:val="20"/>
        </w:rPr>
        <w:t>плекса «КАМЕРА». Погрешность определения величины ППР составляет не более 30 %. Измерения удельной а</w:t>
      </w:r>
      <w:r w:rsidRPr="00345A29">
        <w:rPr>
          <w:sz w:val="20"/>
          <w:szCs w:val="20"/>
        </w:rPr>
        <w:t>к</w:t>
      </w:r>
      <w:r w:rsidRPr="00345A29">
        <w:rPr>
          <w:sz w:val="20"/>
          <w:szCs w:val="20"/>
        </w:rPr>
        <w:t xml:space="preserve">тивности радионуклидов в грунтах проводилось полевым </w:t>
      </w:r>
      <w:proofErr w:type="gramStart"/>
      <w:r w:rsidRPr="00345A29">
        <w:rPr>
          <w:sz w:val="20"/>
          <w:szCs w:val="20"/>
        </w:rPr>
        <w:t>гамма-спектрометрическим</w:t>
      </w:r>
      <w:proofErr w:type="gramEnd"/>
      <w:r w:rsidRPr="00345A29">
        <w:rPr>
          <w:sz w:val="20"/>
          <w:szCs w:val="20"/>
        </w:rPr>
        <w:t xml:space="preserve"> методом с применением по</w:t>
      </w:r>
      <w:r w:rsidRPr="00345A29">
        <w:rPr>
          <w:sz w:val="20"/>
          <w:szCs w:val="20"/>
        </w:rPr>
        <w:t>р</w:t>
      </w:r>
      <w:r w:rsidRPr="00345A29">
        <w:rPr>
          <w:sz w:val="20"/>
          <w:szCs w:val="20"/>
        </w:rPr>
        <w:t>тативной гамма-спектрометрической установки СКС</w:t>
      </w:r>
      <w:r w:rsidRPr="00345A29">
        <w:rPr>
          <w:bCs/>
          <w:sz w:val="20"/>
          <w:szCs w:val="22"/>
        </w:rPr>
        <w:t>-</w:t>
      </w:r>
      <w:r w:rsidRPr="00345A29">
        <w:rPr>
          <w:sz w:val="20"/>
          <w:szCs w:val="20"/>
        </w:rPr>
        <w:t>99 «Спутник». Погрешность измерения естественных ради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>нуклидов не превышала 30 %. Мощность дозы гамма-излучения измерялась с помощью дозиметра гамма-излучения ДКГ</w:t>
      </w:r>
      <w:r w:rsidRPr="00345A29">
        <w:rPr>
          <w:bCs/>
          <w:sz w:val="20"/>
          <w:szCs w:val="22"/>
        </w:rPr>
        <w:t>-</w:t>
      </w:r>
      <w:r w:rsidRPr="00345A29">
        <w:rPr>
          <w:sz w:val="20"/>
          <w:szCs w:val="20"/>
        </w:rPr>
        <w:t>07</w:t>
      </w:r>
      <w:r w:rsidRPr="006576C7">
        <w:rPr>
          <w:sz w:val="20"/>
          <w:szCs w:val="20"/>
        </w:rPr>
        <w:t xml:space="preserve"> </w:t>
      </w:r>
      <w:r w:rsidRPr="00345A29">
        <w:rPr>
          <w:sz w:val="20"/>
          <w:szCs w:val="20"/>
        </w:rPr>
        <w:t xml:space="preserve">«Дрозд». Измерения МАЭД гамма-излучения проводились на поверхности грунта и на высоте </w:t>
      </w:r>
      <w:smartTag w:uri="urn:schemas-microsoft-com:office:smarttags" w:element="metricconverter">
        <w:smartTagPr>
          <w:attr w:name="ProductID" w:val="1 м"/>
        </w:smartTagPr>
        <w:r w:rsidRPr="00345A29">
          <w:rPr>
            <w:sz w:val="20"/>
            <w:szCs w:val="20"/>
          </w:rPr>
          <w:t>1 м</w:t>
        </w:r>
      </w:smartTag>
      <w:r w:rsidRPr="00345A29">
        <w:rPr>
          <w:sz w:val="20"/>
          <w:szCs w:val="20"/>
        </w:rPr>
        <w:t>. Пол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 xml:space="preserve">жение в пространстве (координаты в сети </w:t>
      </w:r>
      <w:r w:rsidRPr="00345A29">
        <w:rPr>
          <w:sz w:val="20"/>
          <w:szCs w:val="20"/>
          <w:lang w:val="en-US"/>
        </w:rPr>
        <w:t>WGS</w:t>
      </w:r>
      <w:r w:rsidRPr="00345A29">
        <w:rPr>
          <w:bCs/>
          <w:sz w:val="20"/>
          <w:szCs w:val="22"/>
        </w:rPr>
        <w:t>-</w:t>
      </w:r>
      <w:r w:rsidRPr="00345A29">
        <w:rPr>
          <w:sz w:val="20"/>
          <w:szCs w:val="20"/>
        </w:rPr>
        <w:t>84), а также абсолютная высота каждой точки измерения фиксировалось с пом</w:t>
      </w:r>
      <w:r w:rsidRPr="00345A29">
        <w:rPr>
          <w:sz w:val="20"/>
          <w:szCs w:val="20"/>
        </w:rPr>
        <w:t>о</w:t>
      </w:r>
      <w:r w:rsidRPr="00345A29">
        <w:rPr>
          <w:sz w:val="20"/>
          <w:szCs w:val="20"/>
        </w:rPr>
        <w:t xml:space="preserve">щью </w:t>
      </w:r>
      <w:r w:rsidRPr="00345A29">
        <w:rPr>
          <w:sz w:val="20"/>
          <w:szCs w:val="20"/>
          <w:lang w:val="en-US"/>
        </w:rPr>
        <w:t>GPS</w:t>
      </w:r>
      <w:r w:rsidRPr="00345A29">
        <w:rPr>
          <w:sz w:val="20"/>
          <w:szCs w:val="20"/>
        </w:rPr>
        <w:t xml:space="preserve">-навигатора </w:t>
      </w:r>
      <w:r w:rsidRPr="00345A29">
        <w:rPr>
          <w:sz w:val="20"/>
          <w:szCs w:val="20"/>
          <w:lang w:val="en-US"/>
        </w:rPr>
        <w:t>Garmin</w:t>
      </w:r>
      <w:r w:rsidRPr="00345A29">
        <w:rPr>
          <w:sz w:val="20"/>
          <w:szCs w:val="20"/>
        </w:rPr>
        <w:t xml:space="preserve"> </w:t>
      </w:r>
      <w:r w:rsidRPr="00345A29">
        <w:rPr>
          <w:sz w:val="20"/>
          <w:szCs w:val="20"/>
          <w:lang w:val="en-US"/>
        </w:rPr>
        <w:t>Etrex</w:t>
      </w:r>
      <w:r w:rsidRPr="00345A29">
        <w:rPr>
          <w:sz w:val="20"/>
          <w:szCs w:val="20"/>
        </w:rPr>
        <w:t xml:space="preserve"> </w:t>
      </w:r>
      <w:r w:rsidRPr="00345A29">
        <w:rPr>
          <w:iCs/>
          <w:sz w:val="20"/>
          <w:szCs w:val="20"/>
          <w:lang w:val="en-US"/>
        </w:rPr>
        <w:t>VISTA</w:t>
      </w:r>
      <w:r w:rsidRPr="00345A29">
        <w:rPr>
          <w:iCs/>
          <w:sz w:val="20"/>
          <w:szCs w:val="20"/>
        </w:rPr>
        <w:t xml:space="preserve"> </w:t>
      </w:r>
      <w:r w:rsidRPr="00345A29">
        <w:rPr>
          <w:iCs/>
          <w:sz w:val="20"/>
          <w:szCs w:val="20"/>
          <w:lang w:val="en-US"/>
        </w:rPr>
        <w:t>HCx</w:t>
      </w:r>
      <w:r w:rsidRPr="00345A29">
        <w:rPr>
          <w:sz w:val="20"/>
          <w:szCs w:val="20"/>
        </w:rPr>
        <w:t xml:space="preserve">. </w:t>
      </w:r>
    </w:p>
    <w:p w:rsidR="00EA357B" w:rsidRPr="00345A29" w:rsidRDefault="00EA357B" w:rsidP="00EA357B">
      <w:pPr>
        <w:ind w:firstLine="340"/>
        <w:jc w:val="both"/>
        <w:rPr>
          <w:iCs/>
          <w:sz w:val="20"/>
          <w:szCs w:val="20"/>
        </w:rPr>
      </w:pPr>
      <w:r w:rsidRPr="00345A29">
        <w:rPr>
          <w:iCs/>
          <w:sz w:val="20"/>
          <w:szCs w:val="20"/>
        </w:rPr>
        <w:t>Предварительный анализ геологических условий показал, что исследуемая территория, характеризуется разв</w:t>
      </w:r>
      <w:r w:rsidRPr="00345A29">
        <w:rPr>
          <w:iCs/>
          <w:sz w:val="20"/>
          <w:szCs w:val="20"/>
        </w:rPr>
        <w:t>и</w:t>
      </w:r>
      <w:r w:rsidRPr="00345A29">
        <w:rPr>
          <w:iCs/>
          <w:sz w:val="20"/>
          <w:szCs w:val="20"/>
        </w:rPr>
        <w:t>тием относительно мощного осадочного чехла и повсеместным распространением толщи рыхлых четвертичных отложений, представленных, в т</w:t>
      </w:r>
      <w:r w:rsidRPr="006576C7">
        <w:rPr>
          <w:iCs/>
          <w:sz w:val="20"/>
          <w:szCs w:val="20"/>
        </w:rPr>
        <w:t>.</w:t>
      </w:r>
      <w:r w:rsidRPr="00345A29">
        <w:rPr>
          <w:iCs/>
          <w:sz w:val="20"/>
          <w:szCs w:val="20"/>
          <w:lang w:val="be-BY"/>
        </w:rPr>
        <w:t> ч.</w:t>
      </w:r>
      <w:r w:rsidRPr="00345A29">
        <w:rPr>
          <w:iCs/>
          <w:sz w:val="20"/>
          <w:szCs w:val="20"/>
        </w:rPr>
        <w:t>, хорошо выдержанными по площади и относительно мощными слабопроница</w:t>
      </w:r>
      <w:r w:rsidRPr="00345A29">
        <w:rPr>
          <w:iCs/>
          <w:sz w:val="20"/>
          <w:szCs w:val="20"/>
        </w:rPr>
        <w:t>е</w:t>
      </w:r>
      <w:r w:rsidRPr="00345A29">
        <w:rPr>
          <w:iCs/>
          <w:sz w:val="20"/>
          <w:szCs w:val="20"/>
        </w:rPr>
        <w:t xml:space="preserve">мыми </w:t>
      </w:r>
      <w:proofErr w:type="gramStart"/>
      <w:r w:rsidRPr="00345A29">
        <w:rPr>
          <w:iCs/>
          <w:sz w:val="20"/>
          <w:szCs w:val="20"/>
        </w:rPr>
        <w:t>моренными</w:t>
      </w:r>
      <w:proofErr w:type="gramEnd"/>
      <w:r w:rsidRPr="00345A29">
        <w:rPr>
          <w:iCs/>
          <w:sz w:val="20"/>
          <w:szCs w:val="20"/>
        </w:rPr>
        <w:t xml:space="preserve"> суглинками. В таких условиях </w:t>
      </w:r>
      <w:bookmarkStart w:id="6" w:name="OLE_LINK71"/>
      <w:bookmarkStart w:id="7" w:name="OLE_LINK72"/>
      <w:r w:rsidRPr="00345A29">
        <w:rPr>
          <w:iCs/>
          <w:sz w:val="20"/>
          <w:szCs w:val="20"/>
        </w:rPr>
        <w:t>эманационный метод малоэффективен</w:t>
      </w:r>
      <w:bookmarkEnd w:id="6"/>
      <w:bookmarkEnd w:id="7"/>
      <w:r w:rsidRPr="00345A29">
        <w:rPr>
          <w:iCs/>
          <w:sz w:val="20"/>
          <w:szCs w:val="20"/>
        </w:rPr>
        <w:t>, т. к. короткий период п</w:t>
      </w:r>
      <w:r w:rsidRPr="00345A29">
        <w:rPr>
          <w:iCs/>
          <w:sz w:val="20"/>
          <w:szCs w:val="20"/>
        </w:rPr>
        <w:t>о</w:t>
      </w:r>
      <w:r w:rsidRPr="00345A29">
        <w:rPr>
          <w:iCs/>
          <w:sz w:val="20"/>
          <w:szCs w:val="20"/>
        </w:rPr>
        <w:t xml:space="preserve">лураспада </w:t>
      </w:r>
      <w:r w:rsidRPr="00345A29">
        <w:rPr>
          <w:iCs/>
          <w:sz w:val="20"/>
          <w:szCs w:val="20"/>
          <w:lang w:val="en-US"/>
        </w:rPr>
        <w:t>Rn</w:t>
      </w:r>
      <w:r w:rsidRPr="00345A29">
        <w:rPr>
          <w:iCs/>
          <w:sz w:val="20"/>
          <w:szCs w:val="20"/>
        </w:rPr>
        <w:t xml:space="preserve"> (3,8 сут) ограничивает его перенос в толще слабопроницаемых рыхлых отложений расстоянием не более 1</w:t>
      </w:r>
      <w:r w:rsidRPr="00345A29">
        <w:rPr>
          <w:bCs/>
          <w:sz w:val="20"/>
          <w:szCs w:val="22"/>
        </w:rPr>
        <w:t>―</w:t>
      </w:r>
      <w:r w:rsidRPr="00345A29">
        <w:rPr>
          <w:iCs/>
          <w:sz w:val="20"/>
          <w:szCs w:val="20"/>
        </w:rPr>
        <w:t>5 м, что не позволяет достоверно регистрировать эманационные аномалии, предположительно связанные с разломами в кр</w:t>
      </w:r>
      <w:r w:rsidRPr="00345A29">
        <w:rPr>
          <w:iCs/>
          <w:sz w:val="20"/>
          <w:szCs w:val="20"/>
        </w:rPr>
        <w:t>и</w:t>
      </w:r>
      <w:r w:rsidRPr="00345A29">
        <w:rPr>
          <w:iCs/>
          <w:sz w:val="20"/>
          <w:szCs w:val="20"/>
        </w:rPr>
        <w:t xml:space="preserve">сталлическом фундаменте, залегающем на глубине около </w:t>
      </w:r>
      <w:smartTag w:uri="urn:schemas-microsoft-com:office:smarttags" w:element="metricconverter">
        <w:smartTagPr>
          <w:attr w:name="ProductID" w:val="500 м"/>
        </w:smartTagPr>
        <w:r w:rsidRPr="00345A29">
          <w:rPr>
            <w:iCs/>
            <w:sz w:val="20"/>
            <w:szCs w:val="20"/>
          </w:rPr>
          <w:t>500 м</w:t>
        </w:r>
      </w:smartTag>
      <w:r w:rsidRPr="00345A29">
        <w:rPr>
          <w:iCs/>
          <w:sz w:val="20"/>
          <w:szCs w:val="20"/>
        </w:rPr>
        <w:t xml:space="preserve">. </w:t>
      </w:r>
    </w:p>
    <w:p w:rsidR="00EA357B" w:rsidRPr="00345A29" w:rsidRDefault="00EA357B" w:rsidP="00EA357B">
      <w:pPr>
        <w:ind w:firstLine="340"/>
        <w:jc w:val="both"/>
        <w:rPr>
          <w:iCs/>
          <w:sz w:val="20"/>
          <w:szCs w:val="20"/>
        </w:rPr>
      </w:pPr>
      <w:r w:rsidRPr="00345A29">
        <w:rPr>
          <w:iCs/>
          <w:sz w:val="20"/>
          <w:szCs w:val="20"/>
        </w:rPr>
        <w:t xml:space="preserve">Исследования проводились на шести участках, пять из которых, расположены по профилю от ст. Гудогай до границы с Литвой вблизи узла пересечения Ошмянского и Западно-Островецкого разломов. Расположение этих участков показано на рисунке 1. Кроме того, были проведены исследования фонового уровня плотности потока </w:t>
      </w:r>
      <w:r w:rsidRPr="00345A29">
        <w:rPr>
          <w:iCs/>
          <w:sz w:val="20"/>
          <w:szCs w:val="20"/>
          <w:lang w:val="en-US"/>
        </w:rPr>
        <w:t>Rn</w:t>
      </w:r>
      <w:r w:rsidRPr="00345A29">
        <w:rPr>
          <w:iCs/>
          <w:sz w:val="20"/>
          <w:szCs w:val="20"/>
        </w:rPr>
        <w:t xml:space="preserve"> на участке</w:t>
      </w:r>
      <w:r>
        <w:rPr>
          <w:iCs/>
          <w:sz w:val="20"/>
          <w:szCs w:val="20"/>
        </w:rPr>
        <w:t>,</w:t>
      </w:r>
      <w:r w:rsidRPr="00345A29">
        <w:rPr>
          <w:iCs/>
          <w:sz w:val="20"/>
          <w:szCs w:val="20"/>
        </w:rPr>
        <w:t xml:space="preserve"> расположенном на берегу оз. Большие Швакшты, на существенном </w:t>
      </w:r>
      <w:r>
        <w:rPr>
          <w:iCs/>
          <w:sz w:val="20"/>
          <w:szCs w:val="20"/>
        </w:rPr>
        <w:t>удалении от Ошмянской разло</w:t>
      </w:r>
      <w:r>
        <w:rPr>
          <w:iCs/>
          <w:sz w:val="20"/>
          <w:szCs w:val="20"/>
        </w:rPr>
        <w:t>м</w:t>
      </w:r>
      <w:r>
        <w:rPr>
          <w:iCs/>
          <w:sz w:val="20"/>
          <w:szCs w:val="20"/>
        </w:rPr>
        <w:t>ной </w:t>
      </w:r>
      <w:r w:rsidRPr="00345A29">
        <w:rPr>
          <w:iCs/>
          <w:sz w:val="20"/>
          <w:szCs w:val="20"/>
        </w:rPr>
        <w:t xml:space="preserve">зоны. </w:t>
      </w:r>
    </w:p>
    <w:p w:rsidR="00EA357B" w:rsidRPr="00345A29" w:rsidRDefault="00EA357B" w:rsidP="00EA357B">
      <w:pPr>
        <w:jc w:val="both"/>
        <w:rPr>
          <w:iCs/>
          <w:sz w:val="20"/>
          <w:szCs w:val="20"/>
        </w:rPr>
      </w:pPr>
    </w:p>
    <w:p w:rsidR="00EA357B" w:rsidRPr="00B3056A" w:rsidRDefault="00EA357B" w:rsidP="00EA357B">
      <w:pPr>
        <w:jc w:val="center"/>
        <w:rPr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</w:rPr>
        <w:lastRenderedPageBreak/>
        <w:drawing>
          <wp:inline distT="0" distB="0" distL="0" distR="0">
            <wp:extent cx="6315075" cy="3381375"/>
            <wp:effectExtent l="19050" t="19050" r="28575" b="28575"/>
            <wp:docPr id="1" name="Рисунок 5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101" b="1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381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357B" w:rsidRPr="0002755D" w:rsidRDefault="00EA357B" w:rsidP="00EA357B">
      <w:pPr>
        <w:jc w:val="center"/>
        <w:rPr>
          <w:sz w:val="16"/>
          <w:szCs w:val="16"/>
        </w:rPr>
      </w:pPr>
    </w:p>
    <w:p w:rsidR="00EA357B" w:rsidRPr="00345A29" w:rsidRDefault="00EA357B" w:rsidP="00EA357B">
      <w:pPr>
        <w:ind w:left="567" w:right="567"/>
        <w:jc w:val="both"/>
        <w:rPr>
          <w:sz w:val="18"/>
          <w:szCs w:val="18"/>
        </w:rPr>
      </w:pPr>
      <w:r w:rsidRPr="00345A29">
        <w:rPr>
          <w:sz w:val="18"/>
          <w:szCs w:val="18"/>
        </w:rPr>
        <w:t>1 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участок измерения ППР и его номер; 2 </w:t>
      </w:r>
      <w:r w:rsidRPr="00345A29">
        <w:rPr>
          <w:bCs/>
          <w:sz w:val="18"/>
          <w:szCs w:val="22"/>
        </w:rPr>
        <w:t>―</w:t>
      </w:r>
      <w:r w:rsidRPr="00345A29">
        <w:rPr>
          <w:sz w:val="18"/>
          <w:szCs w:val="18"/>
        </w:rPr>
        <w:t> разломы в кристаллическом фундаменте; 3 </w:t>
      </w:r>
      <w:r w:rsidRPr="00345A29">
        <w:rPr>
          <w:bCs/>
          <w:sz w:val="18"/>
          <w:szCs w:val="18"/>
        </w:rPr>
        <w:t>―</w:t>
      </w:r>
      <w:r w:rsidRPr="00345A29">
        <w:rPr>
          <w:sz w:val="18"/>
          <w:szCs w:val="18"/>
        </w:rPr>
        <w:t> линеаменты; 4 </w:t>
      </w:r>
      <w:r w:rsidRPr="00345A29">
        <w:rPr>
          <w:bCs/>
          <w:sz w:val="18"/>
          <w:szCs w:val="18"/>
        </w:rPr>
        <w:t xml:space="preserve">― </w:t>
      </w:r>
      <w:r w:rsidRPr="00345A29">
        <w:rPr>
          <w:sz w:val="18"/>
          <w:szCs w:val="18"/>
        </w:rPr>
        <w:t>изолинии рель</w:t>
      </w:r>
      <w:r w:rsidRPr="00345A29">
        <w:rPr>
          <w:sz w:val="18"/>
          <w:szCs w:val="18"/>
        </w:rPr>
        <w:t>е</w:t>
      </w:r>
      <w:r w:rsidRPr="00345A29">
        <w:rPr>
          <w:sz w:val="18"/>
          <w:szCs w:val="18"/>
        </w:rPr>
        <w:t>фа земной поверхности</w:t>
      </w:r>
    </w:p>
    <w:p w:rsidR="00EA357B" w:rsidRPr="00345A29" w:rsidRDefault="00EA357B" w:rsidP="00EA357B">
      <w:pPr>
        <w:jc w:val="center"/>
        <w:rPr>
          <w:sz w:val="18"/>
          <w:szCs w:val="18"/>
          <w:lang w:val="be-BY"/>
        </w:rPr>
      </w:pPr>
    </w:p>
    <w:p w:rsidR="00EA357B" w:rsidRPr="006576C7" w:rsidRDefault="00EA357B" w:rsidP="00EA357B">
      <w:pPr>
        <w:jc w:val="center"/>
        <w:rPr>
          <w:b/>
          <w:sz w:val="18"/>
          <w:szCs w:val="18"/>
        </w:rPr>
      </w:pPr>
      <w:r w:rsidRPr="00345A29">
        <w:rPr>
          <w:sz w:val="18"/>
          <w:szCs w:val="18"/>
        </w:rPr>
        <w:t>Рисунок 1 </w:t>
      </w:r>
      <w:r w:rsidRPr="00345A29">
        <w:rPr>
          <w:color w:val="000000"/>
          <w:sz w:val="18"/>
          <w:szCs w:val="18"/>
        </w:rPr>
        <w:t>―</w:t>
      </w:r>
      <w:r w:rsidRPr="00345A29">
        <w:rPr>
          <w:sz w:val="18"/>
          <w:szCs w:val="18"/>
        </w:rPr>
        <w:t> </w:t>
      </w:r>
      <w:r w:rsidRPr="00345A29">
        <w:rPr>
          <w:b/>
          <w:sz w:val="18"/>
          <w:szCs w:val="18"/>
        </w:rPr>
        <w:t xml:space="preserve">Расположение участков измерения плотности потока </w:t>
      </w:r>
      <w:r w:rsidRPr="00345A29">
        <w:rPr>
          <w:b/>
          <w:sz w:val="18"/>
          <w:szCs w:val="18"/>
          <w:lang w:val="en-US"/>
        </w:rPr>
        <w:t>Rn</w:t>
      </w:r>
      <w:r w:rsidRPr="00345A29">
        <w:rPr>
          <w:b/>
          <w:sz w:val="18"/>
          <w:szCs w:val="18"/>
        </w:rPr>
        <w:t xml:space="preserve"> </w:t>
      </w:r>
    </w:p>
    <w:p w:rsidR="00EA357B" w:rsidRPr="00345A29" w:rsidRDefault="00EA357B" w:rsidP="00EA357B">
      <w:pPr>
        <w:jc w:val="center"/>
        <w:rPr>
          <w:b/>
          <w:sz w:val="18"/>
          <w:szCs w:val="18"/>
        </w:rPr>
      </w:pPr>
      <w:r w:rsidRPr="00345A29">
        <w:rPr>
          <w:b/>
          <w:sz w:val="18"/>
          <w:szCs w:val="18"/>
        </w:rPr>
        <w:t>с поверхности грунта на исследуемой терр</w:t>
      </w:r>
      <w:r w:rsidRPr="00345A29">
        <w:rPr>
          <w:b/>
          <w:sz w:val="18"/>
          <w:szCs w:val="18"/>
        </w:rPr>
        <w:t>и</w:t>
      </w:r>
      <w:r w:rsidRPr="00345A29">
        <w:rPr>
          <w:b/>
          <w:sz w:val="18"/>
          <w:szCs w:val="18"/>
        </w:rPr>
        <w:t xml:space="preserve">тории </w:t>
      </w:r>
    </w:p>
    <w:p w:rsidR="00EA357B" w:rsidRPr="00345A29" w:rsidRDefault="00EA357B" w:rsidP="00EA357B">
      <w:pPr>
        <w:jc w:val="both"/>
        <w:rPr>
          <w:sz w:val="20"/>
          <w:szCs w:val="20"/>
          <w:lang w:val="be-BY"/>
        </w:rPr>
      </w:pPr>
    </w:p>
    <w:p w:rsidR="00EA357B" w:rsidRPr="009070C1" w:rsidRDefault="00EA357B" w:rsidP="00EA357B">
      <w:pPr>
        <w:ind w:firstLine="340"/>
        <w:jc w:val="both"/>
        <w:rPr>
          <w:iCs/>
          <w:sz w:val="20"/>
          <w:szCs w:val="20"/>
        </w:rPr>
      </w:pPr>
      <w:r w:rsidRPr="009070C1">
        <w:rPr>
          <w:iCs/>
          <w:sz w:val="20"/>
          <w:szCs w:val="20"/>
        </w:rPr>
        <w:t xml:space="preserve">На каждом участке устанавливалось от 5 до 22 точек измерения </w:t>
      </w:r>
      <w:r w:rsidRPr="006576C7">
        <w:rPr>
          <w:iCs/>
          <w:sz w:val="20"/>
          <w:szCs w:val="20"/>
        </w:rPr>
        <w:t>ППР</w:t>
      </w:r>
      <w:r w:rsidRPr="009070C1">
        <w:rPr>
          <w:iCs/>
          <w:sz w:val="20"/>
          <w:szCs w:val="20"/>
        </w:rPr>
        <w:t xml:space="preserve"> с поверхности грунтов. Кроме того, в пр</w:t>
      </w:r>
      <w:r w:rsidRPr="009070C1">
        <w:rPr>
          <w:iCs/>
          <w:sz w:val="20"/>
          <w:szCs w:val="20"/>
        </w:rPr>
        <w:t>е</w:t>
      </w:r>
      <w:r w:rsidRPr="009070C1">
        <w:rPr>
          <w:iCs/>
          <w:sz w:val="20"/>
          <w:szCs w:val="20"/>
        </w:rPr>
        <w:t>делах каждого участка ручным буром бурились 2</w:t>
      </w:r>
      <w:r w:rsidRPr="009070C1">
        <w:rPr>
          <w:bCs/>
          <w:sz w:val="20"/>
          <w:szCs w:val="22"/>
        </w:rPr>
        <w:t>―</w:t>
      </w:r>
      <w:r w:rsidRPr="009070C1">
        <w:rPr>
          <w:iCs/>
          <w:sz w:val="20"/>
          <w:szCs w:val="20"/>
        </w:rPr>
        <w:t xml:space="preserve">4 шпура, диаметром </w:t>
      </w:r>
      <w:smartTag w:uri="urn:schemas-microsoft-com:office:smarttags" w:element="metricconverter">
        <w:smartTagPr>
          <w:attr w:name="ProductID" w:val="120 мм"/>
        </w:smartTagPr>
        <w:r w:rsidRPr="009070C1">
          <w:rPr>
            <w:iCs/>
            <w:sz w:val="20"/>
            <w:szCs w:val="20"/>
          </w:rPr>
          <w:t>120</w:t>
        </w:r>
        <w:r w:rsidRPr="009070C1">
          <w:rPr>
            <w:sz w:val="18"/>
            <w:szCs w:val="18"/>
          </w:rPr>
          <w:t> </w:t>
        </w:r>
        <w:r w:rsidRPr="009070C1">
          <w:rPr>
            <w:iCs/>
            <w:sz w:val="20"/>
            <w:szCs w:val="20"/>
          </w:rPr>
          <w:t>мм</w:t>
        </w:r>
      </w:smartTag>
      <w:r w:rsidRPr="009070C1">
        <w:rPr>
          <w:iCs/>
          <w:sz w:val="20"/>
          <w:szCs w:val="20"/>
        </w:rPr>
        <w:t>, в которых выполнялись полевые измерения удельной активности радионуклидах в грунтах. Также на каждом участке в 5 точках выполнялись измерения мощн</w:t>
      </w:r>
      <w:r w:rsidRPr="009070C1">
        <w:rPr>
          <w:iCs/>
          <w:sz w:val="20"/>
          <w:szCs w:val="20"/>
        </w:rPr>
        <w:t>о</w:t>
      </w:r>
      <w:r w:rsidRPr="009070C1">
        <w:rPr>
          <w:iCs/>
          <w:sz w:val="20"/>
          <w:szCs w:val="20"/>
        </w:rPr>
        <w:t xml:space="preserve">сти амбиентного эквивалента дозы гамма-излучения. </w:t>
      </w:r>
    </w:p>
    <w:p w:rsidR="00EA357B" w:rsidRPr="009070C1" w:rsidRDefault="00EA357B" w:rsidP="00EA357B">
      <w:pPr>
        <w:ind w:firstLine="340"/>
        <w:jc w:val="both"/>
        <w:rPr>
          <w:iCs/>
          <w:sz w:val="20"/>
          <w:szCs w:val="20"/>
        </w:rPr>
      </w:pPr>
      <w:r w:rsidRPr="009070C1">
        <w:rPr>
          <w:iCs/>
          <w:sz w:val="20"/>
          <w:szCs w:val="20"/>
        </w:rPr>
        <w:t xml:space="preserve">Результаты исследований показывают, что </w:t>
      </w:r>
      <w:bookmarkStart w:id="8" w:name="OLE_LINK76"/>
      <w:r w:rsidRPr="009070C1">
        <w:rPr>
          <w:iCs/>
          <w:sz w:val="20"/>
          <w:szCs w:val="20"/>
        </w:rPr>
        <w:t xml:space="preserve">плотность потока </w:t>
      </w:r>
      <w:r w:rsidRPr="009070C1">
        <w:rPr>
          <w:iCs/>
          <w:sz w:val="20"/>
          <w:szCs w:val="20"/>
          <w:lang w:val="en-US"/>
        </w:rPr>
        <w:t>Rn</w:t>
      </w:r>
      <w:r w:rsidRPr="009070C1">
        <w:rPr>
          <w:iCs/>
          <w:sz w:val="20"/>
          <w:szCs w:val="20"/>
        </w:rPr>
        <w:t xml:space="preserve"> с поверхности грунта в исследуемом районе несколько повышена</w:t>
      </w:r>
      <w:bookmarkEnd w:id="8"/>
      <w:r w:rsidRPr="009070C1">
        <w:rPr>
          <w:iCs/>
          <w:sz w:val="20"/>
          <w:szCs w:val="20"/>
        </w:rPr>
        <w:t xml:space="preserve"> (таблица 1, рисунок 2). Особенно это касается участков, расположенных на пе</w:t>
      </w:r>
      <w:r w:rsidRPr="009070C1">
        <w:rPr>
          <w:iCs/>
          <w:sz w:val="20"/>
          <w:szCs w:val="20"/>
        </w:rPr>
        <w:t>с</w:t>
      </w:r>
      <w:r w:rsidRPr="009070C1">
        <w:rPr>
          <w:iCs/>
          <w:sz w:val="20"/>
          <w:szCs w:val="20"/>
        </w:rPr>
        <w:t xml:space="preserve">чаных грунтах, для которых характерны низкие значения удельной активности </w:t>
      </w:r>
      <w:r w:rsidRPr="009070C1">
        <w:rPr>
          <w:iCs/>
          <w:sz w:val="20"/>
          <w:szCs w:val="20"/>
          <w:lang w:val="en-US"/>
        </w:rPr>
        <w:t>Ra</w:t>
      </w:r>
      <w:r w:rsidRPr="009070C1">
        <w:rPr>
          <w:iCs/>
          <w:sz w:val="20"/>
          <w:szCs w:val="20"/>
        </w:rPr>
        <w:t>, не более 21 Бк/кг (таблица 2). При этом знач</w:t>
      </w:r>
      <w:r w:rsidRPr="009070C1">
        <w:rPr>
          <w:iCs/>
          <w:sz w:val="20"/>
          <w:szCs w:val="20"/>
        </w:rPr>
        <w:t>е</w:t>
      </w:r>
      <w:r w:rsidRPr="009070C1">
        <w:rPr>
          <w:iCs/>
          <w:sz w:val="20"/>
          <w:szCs w:val="20"/>
        </w:rPr>
        <w:t>ния ППР с поверхности песков здесь составляют в среднем по участкам от 57,0 до 74,2 мБк/(м</w:t>
      </w:r>
      <w:proofErr w:type="gramStart"/>
      <w:r w:rsidRPr="009070C1">
        <w:rPr>
          <w:iCs/>
          <w:sz w:val="20"/>
          <w:szCs w:val="20"/>
          <w:vertAlign w:val="superscript"/>
        </w:rPr>
        <w:t>2</w:t>
      </w:r>
      <w:proofErr w:type="gramEnd"/>
      <w:r w:rsidRPr="009070C1">
        <w:rPr>
          <w:iCs/>
          <w:sz w:val="20"/>
          <w:szCs w:val="20"/>
        </w:rPr>
        <w:t> · с), а в отдельных точках достигают 94 мБк/(м</w:t>
      </w:r>
      <w:r w:rsidRPr="009070C1">
        <w:rPr>
          <w:iCs/>
          <w:sz w:val="20"/>
          <w:szCs w:val="20"/>
          <w:vertAlign w:val="superscript"/>
        </w:rPr>
        <w:t>2</w:t>
      </w:r>
      <w:r w:rsidRPr="009070C1">
        <w:rPr>
          <w:iCs/>
          <w:sz w:val="20"/>
          <w:szCs w:val="20"/>
        </w:rPr>
        <w:t> · с), что превышает фоновые значения, характерные для участков сложенных песч</w:t>
      </w:r>
      <w:r w:rsidRPr="009070C1">
        <w:rPr>
          <w:iCs/>
          <w:sz w:val="20"/>
          <w:szCs w:val="20"/>
        </w:rPr>
        <w:t>а</w:t>
      </w:r>
      <w:r w:rsidRPr="009070C1">
        <w:rPr>
          <w:iCs/>
          <w:sz w:val="20"/>
          <w:szCs w:val="20"/>
        </w:rPr>
        <w:t>ными грунтами на территории Восточно-Европейской платформы [4]. Так, например, на участке,</w:t>
      </w:r>
      <w:r>
        <w:rPr>
          <w:iCs/>
          <w:sz w:val="20"/>
          <w:szCs w:val="20"/>
        </w:rPr>
        <w:t xml:space="preserve"> удалё</w:t>
      </w:r>
      <w:r w:rsidRPr="009070C1">
        <w:rPr>
          <w:iCs/>
          <w:sz w:val="20"/>
          <w:szCs w:val="20"/>
        </w:rPr>
        <w:t>нном от з</w:t>
      </w:r>
      <w:r w:rsidRPr="009070C1">
        <w:rPr>
          <w:iCs/>
          <w:sz w:val="20"/>
          <w:szCs w:val="20"/>
        </w:rPr>
        <w:t>о</w:t>
      </w:r>
      <w:r w:rsidRPr="009070C1">
        <w:rPr>
          <w:iCs/>
          <w:sz w:val="20"/>
          <w:szCs w:val="20"/>
        </w:rPr>
        <w:t xml:space="preserve">ны Ошмянского разлома (оз. Большие Швакшты), сложенном слаборадиоактивными песками, значения плотности потока </w:t>
      </w:r>
      <w:r w:rsidRPr="009070C1">
        <w:rPr>
          <w:iCs/>
          <w:sz w:val="20"/>
          <w:szCs w:val="20"/>
          <w:lang w:val="en-US"/>
        </w:rPr>
        <w:t>Rn</w:t>
      </w:r>
      <w:r w:rsidRPr="009070C1">
        <w:rPr>
          <w:iCs/>
          <w:sz w:val="20"/>
          <w:szCs w:val="20"/>
        </w:rPr>
        <w:t xml:space="preserve"> не превышают 24 мБк/(м</w:t>
      </w:r>
      <w:proofErr w:type="gramStart"/>
      <w:r w:rsidRPr="009070C1">
        <w:rPr>
          <w:iCs/>
          <w:sz w:val="20"/>
          <w:szCs w:val="20"/>
          <w:vertAlign w:val="superscript"/>
        </w:rPr>
        <w:t>2</w:t>
      </w:r>
      <w:proofErr w:type="gramEnd"/>
      <w:r w:rsidRPr="009070C1">
        <w:rPr>
          <w:iCs/>
          <w:sz w:val="20"/>
          <w:szCs w:val="20"/>
        </w:rPr>
        <w:t xml:space="preserve"> · с). В целом, плотность потока </w:t>
      </w:r>
      <w:r w:rsidRPr="009070C1">
        <w:rPr>
          <w:iCs/>
          <w:sz w:val="20"/>
          <w:szCs w:val="20"/>
          <w:lang w:val="en-US"/>
        </w:rPr>
        <w:t>Rn</w:t>
      </w:r>
      <w:r w:rsidRPr="009070C1">
        <w:rPr>
          <w:iCs/>
          <w:sz w:val="20"/>
          <w:szCs w:val="20"/>
        </w:rPr>
        <w:t xml:space="preserve"> возрастает по профилю по мере приближ</w:t>
      </w:r>
      <w:r w:rsidRPr="009070C1">
        <w:rPr>
          <w:iCs/>
          <w:sz w:val="20"/>
          <w:szCs w:val="20"/>
        </w:rPr>
        <w:t>е</w:t>
      </w:r>
      <w:r w:rsidRPr="009070C1">
        <w:rPr>
          <w:iCs/>
          <w:sz w:val="20"/>
          <w:szCs w:val="20"/>
        </w:rPr>
        <w:t xml:space="preserve">ния к зоне пересечения Ошмянского и Западно-Островецкого разломов независимо от удельной активности </w:t>
      </w:r>
      <w:r w:rsidRPr="009070C1">
        <w:rPr>
          <w:iCs/>
          <w:sz w:val="20"/>
          <w:szCs w:val="20"/>
          <w:lang w:val="en-US"/>
        </w:rPr>
        <w:t>Ra</w:t>
      </w:r>
      <w:r w:rsidRPr="009070C1">
        <w:rPr>
          <w:iCs/>
          <w:sz w:val="20"/>
          <w:szCs w:val="20"/>
        </w:rPr>
        <w:t xml:space="preserve"> в гру</w:t>
      </w:r>
      <w:r w:rsidRPr="009070C1">
        <w:rPr>
          <w:iCs/>
          <w:sz w:val="20"/>
          <w:szCs w:val="20"/>
        </w:rPr>
        <w:t>н</w:t>
      </w:r>
      <w:r w:rsidRPr="009070C1">
        <w:rPr>
          <w:iCs/>
          <w:sz w:val="20"/>
          <w:szCs w:val="20"/>
        </w:rPr>
        <w:t>тах.</w:t>
      </w:r>
    </w:p>
    <w:p w:rsidR="00EA357B" w:rsidRPr="00B06461" w:rsidRDefault="00EA357B" w:rsidP="00EA357B">
      <w:pPr>
        <w:jc w:val="both"/>
        <w:rPr>
          <w:sz w:val="18"/>
          <w:szCs w:val="20"/>
        </w:rPr>
      </w:pPr>
    </w:p>
    <w:p w:rsidR="00EA357B" w:rsidRPr="00345A29" w:rsidRDefault="00EA357B" w:rsidP="00EA357B">
      <w:pPr>
        <w:rPr>
          <w:sz w:val="18"/>
          <w:szCs w:val="18"/>
        </w:rPr>
      </w:pPr>
      <w:r w:rsidRPr="00345A29">
        <w:rPr>
          <w:sz w:val="18"/>
          <w:szCs w:val="18"/>
        </w:rPr>
        <w:t>Таблица 1</w:t>
      </w:r>
      <w:r w:rsidRPr="00345A29">
        <w:rPr>
          <w:sz w:val="18"/>
          <w:szCs w:val="18"/>
          <w:lang w:val="en-US"/>
        </w:rPr>
        <w:t> </w:t>
      </w:r>
      <w:r w:rsidRPr="006576C7">
        <w:rPr>
          <w:color w:val="000000"/>
          <w:sz w:val="18"/>
          <w:szCs w:val="18"/>
        </w:rPr>
        <w:t>―</w:t>
      </w:r>
      <w:r w:rsidRPr="00345A29">
        <w:rPr>
          <w:sz w:val="18"/>
          <w:szCs w:val="18"/>
          <w:lang w:val="en-US"/>
        </w:rPr>
        <w:t> </w:t>
      </w:r>
      <w:r w:rsidRPr="00345A29">
        <w:rPr>
          <w:b/>
          <w:sz w:val="18"/>
          <w:szCs w:val="18"/>
        </w:rPr>
        <w:t>Параметры распределения ППР на участках исследований</w:t>
      </w:r>
      <w:r w:rsidRPr="00345A29">
        <w:rPr>
          <w:sz w:val="18"/>
          <w:szCs w:val="18"/>
        </w:rPr>
        <w:t xml:space="preserve"> </w:t>
      </w:r>
    </w:p>
    <w:p w:rsidR="00EA357B" w:rsidRPr="00345A29" w:rsidRDefault="00EA357B" w:rsidP="00EA357B">
      <w:pPr>
        <w:rPr>
          <w:sz w:val="16"/>
          <w:szCs w:val="16"/>
        </w:rPr>
      </w:pP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6"/>
        <w:gridCol w:w="1037"/>
        <w:gridCol w:w="1037"/>
        <w:gridCol w:w="1037"/>
        <w:gridCol w:w="1037"/>
        <w:gridCol w:w="1037"/>
        <w:gridCol w:w="1038"/>
      </w:tblGrid>
      <w:tr w:rsidR="00EA357B" w:rsidRPr="00345A29" w:rsidTr="00DB6818"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Параметр распределения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Участок</w:t>
            </w:r>
          </w:p>
        </w:tc>
      </w:tr>
      <w:tr w:rsidR="00EA357B" w:rsidRPr="00345A29" w:rsidTr="00DB6818"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6</w:t>
            </w:r>
          </w:p>
        </w:tc>
      </w:tr>
      <w:tr w:rsidR="00EA357B" w:rsidRPr="00345A29" w:rsidTr="00DB6818">
        <w:trPr>
          <w:trHeight w:val="7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both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 xml:space="preserve">Среднее арифметическое, </w:t>
            </w:r>
            <w:bookmarkStart w:id="9" w:name="OLE_LINK17"/>
            <w:bookmarkStart w:id="10" w:name="OLE_LINK18"/>
            <w:r w:rsidRPr="00345A29">
              <w:rPr>
                <w:sz w:val="18"/>
                <w:szCs w:val="18"/>
              </w:rPr>
              <w:t>мБк/м</w:t>
            </w:r>
            <w:r w:rsidRPr="00345A29">
              <w:rPr>
                <w:sz w:val="18"/>
                <w:szCs w:val="18"/>
                <w:vertAlign w:val="superscript"/>
              </w:rPr>
              <w:t>2</w:t>
            </w:r>
            <w:r w:rsidRPr="00345A29">
              <w:rPr>
                <w:sz w:val="18"/>
                <w:szCs w:val="18"/>
              </w:rPr>
              <w:t>с</w:t>
            </w:r>
            <w:bookmarkEnd w:id="9"/>
            <w:bookmarkEnd w:id="10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57,0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70,6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74,2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71,8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43,4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16,4</w:t>
            </w:r>
          </w:p>
        </w:tc>
      </w:tr>
      <w:tr w:rsidR="00EA357B" w:rsidRPr="00345A29" w:rsidTr="00DB681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both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Среднее геометрическое, мБк/м</w:t>
            </w:r>
            <w:r w:rsidRPr="00345A29">
              <w:rPr>
                <w:sz w:val="18"/>
                <w:szCs w:val="18"/>
                <w:vertAlign w:val="superscript"/>
              </w:rPr>
              <w:t>2</w:t>
            </w:r>
            <w:r w:rsidRPr="00345A29">
              <w:rPr>
                <w:sz w:val="18"/>
                <w:szCs w:val="18"/>
              </w:rPr>
              <w:t>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54,6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69,3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72,8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69,3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42,3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15,5</w:t>
            </w:r>
          </w:p>
        </w:tc>
      </w:tr>
      <w:tr w:rsidR="00EA357B" w:rsidRPr="00345A29" w:rsidTr="00DB681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both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Медиана, мБк/м</w:t>
            </w:r>
            <w:r w:rsidRPr="00345A29">
              <w:rPr>
                <w:sz w:val="18"/>
                <w:szCs w:val="18"/>
                <w:vertAlign w:val="superscript"/>
              </w:rPr>
              <w:t>2</w:t>
            </w:r>
            <w:r w:rsidRPr="00345A29">
              <w:rPr>
                <w:sz w:val="18"/>
                <w:szCs w:val="18"/>
              </w:rPr>
              <w:t>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57,0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72,0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77,0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79,5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44,5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14</w:t>
            </w:r>
          </w:p>
        </w:tc>
      </w:tr>
      <w:tr w:rsidR="00EA357B" w:rsidRPr="00345A29" w:rsidTr="00DB681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both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Стандартное отклонение, мБк/м</w:t>
            </w:r>
            <w:r w:rsidRPr="00345A29">
              <w:rPr>
                <w:sz w:val="18"/>
                <w:szCs w:val="18"/>
                <w:vertAlign w:val="superscript"/>
              </w:rPr>
              <w:t>2</w:t>
            </w:r>
            <w:r w:rsidRPr="00345A29">
              <w:rPr>
                <w:sz w:val="18"/>
                <w:szCs w:val="18"/>
              </w:rPr>
              <w:t>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15,3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6,2</w:t>
            </w:r>
          </w:p>
        </w:tc>
      </w:tr>
      <w:tr w:rsidR="00EA357B" w:rsidRPr="00345A29" w:rsidTr="00DB681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both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Минимум</w:t>
            </w:r>
            <w:r w:rsidRPr="00345A29">
              <w:rPr>
                <w:bCs/>
                <w:sz w:val="18"/>
                <w:szCs w:val="18"/>
              </w:rPr>
              <w:t>―</w:t>
            </w:r>
            <w:r w:rsidRPr="00345A29">
              <w:rPr>
                <w:sz w:val="18"/>
                <w:szCs w:val="18"/>
              </w:rPr>
              <w:t>максимум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40</w:t>
            </w:r>
            <w:r w:rsidRPr="00345A29">
              <w:rPr>
                <w:bCs/>
                <w:sz w:val="18"/>
                <w:szCs w:val="18"/>
              </w:rPr>
              <w:t>―</w:t>
            </w:r>
            <w:r w:rsidRPr="00345A29">
              <w:rPr>
                <w:sz w:val="18"/>
                <w:szCs w:val="18"/>
              </w:rPr>
              <w:t>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54</w:t>
            </w:r>
            <w:r w:rsidRPr="00345A29">
              <w:rPr>
                <w:bCs/>
                <w:sz w:val="18"/>
                <w:szCs w:val="18"/>
              </w:rPr>
              <w:t>―</w:t>
            </w:r>
            <w:r w:rsidRPr="00345A29">
              <w:rPr>
                <w:sz w:val="18"/>
                <w:szCs w:val="18"/>
              </w:rPr>
              <w:t>92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47</w:t>
            </w:r>
            <w:r w:rsidRPr="00345A29">
              <w:rPr>
                <w:bCs/>
                <w:sz w:val="18"/>
                <w:szCs w:val="18"/>
              </w:rPr>
              <w:t>―</w:t>
            </w:r>
            <w:r w:rsidRPr="00345A29">
              <w:rPr>
                <w:sz w:val="18"/>
                <w:szCs w:val="18"/>
              </w:rPr>
              <w:t>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35</w:t>
            </w:r>
            <w:r w:rsidRPr="00345A29">
              <w:rPr>
                <w:bCs/>
                <w:sz w:val="18"/>
                <w:szCs w:val="18"/>
              </w:rPr>
              <w:t>―</w:t>
            </w:r>
            <w:r w:rsidRPr="00345A29"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27</w:t>
            </w:r>
            <w:r w:rsidRPr="00345A29">
              <w:rPr>
                <w:bCs/>
                <w:sz w:val="18"/>
                <w:szCs w:val="18"/>
              </w:rPr>
              <w:t>―</w:t>
            </w:r>
            <w:r w:rsidRPr="00345A29">
              <w:rPr>
                <w:sz w:val="18"/>
                <w:szCs w:val="18"/>
              </w:rPr>
              <w:t>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10</w:t>
            </w:r>
            <w:r w:rsidRPr="00345A29">
              <w:rPr>
                <w:bCs/>
                <w:sz w:val="18"/>
                <w:szCs w:val="18"/>
              </w:rPr>
              <w:t>―</w:t>
            </w:r>
            <w:r w:rsidRPr="00345A29">
              <w:rPr>
                <w:sz w:val="18"/>
                <w:szCs w:val="18"/>
              </w:rPr>
              <w:t>24</w:t>
            </w:r>
          </w:p>
        </w:tc>
      </w:tr>
      <w:tr w:rsidR="00EA357B" w:rsidRPr="00345A29" w:rsidTr="00DB681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both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Стандартное относительное отклонение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0,21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0,22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0,20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0,24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0,23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345A29" w:rsidRDefault="00EA357B" w:rsidP="00DB6818">
            <w:pPr>
              <w:jc w:val="center"/>
              <w:rPr>
                <w:sz w:val="18"/>
                <w:szCs w:val="18"/>
              </w:rPr>
            </w:pPr>
            <w:r w:rsidRPr="00345A29">
              <w:rPr>
                <w:sz w:val="18"/>
                <w:szCs w:val="18"/>
              </w:rPr>
              <w:t>0,38</w:t>
            </w:r>
          </w:p>
        </w:tc>
      </w:tr>
    </w:tbl>
    <w:p w:rsidR="00EA357B" w:rsidRDefault="00EA357B" w:rsidP="00EA357B">
      <w:pPr>
        <w:jc w:val="both"/>
        <w:rPr>
          <w:spacing w:val="-2"/>
          <w:sz w:val="18"/>
          <w:szCs w:val="18"/>
        </w:rPr>
      </w:pPr>
    </w:p>
    <w:p w:rsidR="00EA357B" w:rsidRPr="009070C1" w:rsidRDefault="00EA357B" w:rsidP="00EA357B">
      <w:pPr>
        <w:ind w:firstLine="340"/>
        <w:jc w:val="both"/>
        <w:rPr>
          <w:iCs/>
          <w:sz w:val="20"/>
          <w:szCs w:val="20"/>
        </w:rPr>
      </w:pPr>
      <w:r w:rsidRPr="009070C1">
        <w:rPr>
          <w:iCs/>
          <w:sz w:val="20"/>
          <w:szCs w:val="20"/>
        </w:rPr>
        <w:t xml:space="preserve">Отмеченные особенности поля ППР с поверхности грунтов могут быть обусловлены активизацией Ошмянского разлома в современном поле напряжений. Вместе с тем, необходимо отметить, что </w:t>
      </w:r>
      <w:bookmarkStart w:id="11" w:name="OLE_LINK73"/>
      <w:bookmarkStart w:id="12" w:name="OLE_LINK74"/>
      <w:r w:rsidRPr="009070C1">
        <w:rPr>
          <w:iCs/>
          <w:sz w:val="20"/>
          <w:szCs w:val="20"/>
        </w:rPr>
        <w:t>в поле значений плотности п</w:t>
      </w:r>
      <w:r w:rsidRPr="009070C1">
        <w:rPr>
          <w:iCs/>
          <w:sz w:val="20"/>
          <w:szCs w:val="20"/>
        </w:rPr>
        <w:t>о</w:t>
      </w:r>
      <w:r w:rsidRPr="009070C1">
        <w:rPr>
          <w:iCs/>
          <w:sz w:val="20"/>
          <w:szCs w:val="20"/>
        </w:rPr>
        <w:t xml:space="preserve">тока </w:t>
      </w:r>
      <w:r w:rsidRPr="009070C1">
        <w:rPr>
          <w:iCs/>
          <w:sz w:val="20"/>
          <w:szCs w:val="20"/>
          <w:lang w:val="en-US"/>
        </w:rPr>
        <w:t>Rn</w:t>
      </w:r>
      <w:r w:rsidRPr="009070C1">
        <w:rPr>
          <w:iCs/>
          <w:sz w:val="20"/>
          <w:szCs w:val="20"/>
        </w:rPr>
        <w:t xml:space="preserve"> не выявлено контрастных аномалий, характерных для зон повышенной раздробленности и трещиноватости горных пород, где происходит активный вынос </w:t>
      </w:r>
      <w:r w:rsidRPr="009070C1">
        <w:rPr>
          <w:iCs/>
          <w:sz w:val="20"/>
          <w:szCs w:val="20"/>
          <w:lang w:val="en-US"/>
        </w:rPr>
        <w:t>Rn</w:t>
      </w:r>
      <w:r w:rsidRPr="009070C1">
        <w:rPr>
          <w:iCs/>
          <w:sz w:val="20"/>
          <w:szCs w:val="20"/>
        </w:rPr>
        <w:t xml:space="preserve"> конвективными газово-жидкими флюидными потоками.</w:t>
      </w:r>
      <w:bookmarkEnd w:id="11"/>
      <w:bookmarkEnd w:id="12"/>
      <w:r w:rsidRPr="009070C1">
        <w:rPr>
          <w:iCs/>
          <w:sz w:val="20"/>
          <w:szCs w:val="20"/>
        </w:rPr>
        <w:t xml:space="preserve"> </w:t>
      </w:r>
    </w:p>
    <w:p w:rsidR="00EA357B" w:rsidRDefault="00EA357B" w:rsidP="00EA357B">
      <w:pPr>
        <w:jc w:val="both"/>
        <w:rPr>
          <w:sz w:val="18"/>
          <w:szCs w:val="20"/>
        </w:rPr>
      </w:pPr>
    </w:p>
    <w:p w:rsidR="00EA357B" w:rsidRPr="00B06461" w:rsidRDefault="00EA357B" w:rsidP="00EA357B">
      <w:pPr>
        <w:jc w:val="both"/>
        <w:rPr>
          <w:b/>
          <w:sz w:val="18"/>
          <w:szCs w:val="18"/>
        </w:rPr>
      </w:pPr>
      <w:r w:rsidRPr="00B06461">
        <w:rPr>
          <w:sz w:val="18"/>
          <w:szCs w:val="18"/>
        </w:rPr>
        <w:t>Таблица 2 </w:t>
      </w:r>
      <w:r w:rsidRPr="00B06461">
        <w:rPr>
          <w:color w:val="000000"/>
          <w:sz w:val="18"/>
          <w:szCs w:val="18"/>
        </w:rPr>
        <w:t>―</w:t>
      </w:r>
      <w:r w:rsidRPr="00B06461">
        <w:rPr>
          <w:sz w:val="18"/>
          <w:szCs w:val="18"/>
        </w:rPr>
        <w:t> </w:t>
      </w:r>
      <w:r w:rsidRPr="00B06461">
        <w:rPr>
          <w:b/>
          <w:sz w:val="18"/>
          <w:szCs w:val="18"/>
        </w:rPr>
        <w:t xml:space="preserve">Удельная активность естественных радионуклидов и </w:t>
      </w:r>
      <w:r w:rsidRPr="00B06461">
        <w:rPr>
          <w:b/>
          <w:sz w:val="18"/>
          <w:szCs w:val="18"/>
          <w:vertAlign w:val="superscript"/>
        </w:rPr>
        <w:t>137</w:t>
      </w:r>
      <w:r w:rsidRPr="00B06461">
        <w:rPr>
          <w:b/>
          <w:sz w:val="18"/>
          <w:szCs w:val="18"/>
          <w:lang w:val="en-US"/>
        </w:rPr>
        <w:t>Cs</w:t>
      </w:r>
      <w:r w:rsidRPr="00B06461">
        <w:rPr>
          <w:b/>
          <w:sz w:val="18"/>
          <w:szCs w:val="18"/>
        </w:rPr>
        <w:t xml:space="preserve"> в грунтах на глубине до </w:t>
      </w:r>
      <w:smartTag w:uri="urn:schemas-microsoft-com:office:smarttags" w:element="metricconverter">
        <w:smartTagPr>
          <w:attr w:name="ProductID" w:val="0,5 м"/>
        </w:smartTagPr>
        <w:r w:rsidRPr="00B06461">
          <w:rPr>
            <w:b/>
            <w:sz w:val="18"/>
            <w:szCs w:val="18"/>
          </w:rPr>
          <w:t>0,5 м</w:t>
        </w:r>
      </w:smartTag>
      <w:r w:rsidRPr="00B06461">
        <w:rPr>
          <w:b/>
          <w:sz w:val="18"/>
          <w:szCs w:val="18"/>
        </w:rPr>
        <w:t xml:space="preserve"> </w:t>
      </w:r>
    </w:p>
    <w:p w:rsidR="00EA357B" w:rsidRPr="00B06461" w:rsidRDefault="00EA357B" w:rsidP="00EA357B">
      <w:pPr>
        <w:ind w:firstLine="1077"/>
        <w:jc w:val="both"/>
        <w:rPr>
          <w:b/>
          <w:sz w:val="18"/>
          <w:szCs w:val="18"/>
        </w:rPr>
      </w:pPr>
      <w:r w:rsidRPr="00B06461">
        <w:rPr>
          <w:b/>
          <w:sz w:val="18"/>
          <w:szCs w:val="18"/>
        </w:rPr>
        <w:lastRenderedPageBreak/>
        <w:t>и МАЭД га</w:t>
      </w:r>
      <w:r w:rsidRPr="00B06461">
        <w:rPr>
          <w:b/>
          <w:sz w:val="18"/>
          <w:szCs w:val="18"/>
        </w:rPr>
        <w:t>м</w:t>
      </w:r>
      <w:r w:rsidRPr="00B06461">
        <w:rPr>
          <w:b/>
          <w:sz w:val="18"/>
          <w:szCs w:val="18"/>
        </w:rPr>
        <w:t>ма-излучения</w:t>
      </w:r>
    </w:p>
    <w:p w:rsidR="00EA357B" w:rsidRPr="00B06461" w:rsidRDefault="00EA357B" w:rsidP="00EA357B">
      <w:pPr>
        <w:jc w:val="both"/>
        <w:rPr>
          <w:sz w:val="16"/>
          <w:szCs w:val="16"/>
        </w:rPr>
      </w:pP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655"/>
        <w:gridCol w:w="1202"/>
        <w:gridCol w:w="1472"/>
        <w:gridCol w:w="1473"/>
        <w:gridCol w:w="1473"/>
        <w:gridCol w:w="1473"/>
      </w:tblGrid>
      <w:tr w:rsidR="00EA357B" w:rsidRPr="00B06461" w:rsidTr="00DB6818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Учас</w:t>
            </w:r>
            <w:r w:rsidRPr="00B06461">
              <w:rPr>
                <w:sz w:val="18"/>
                <w:szCs w:val="18"/>
              </w:rPr>
              <w:t>т</w:t>
            </w:r>
            <w:r w:rsidRPr="00B06461">
              <w:rPr>
                <w:sz w:val="18"/>
                <w:szCs w:val="18"/>
              </w:rPr>
              <w:t>ок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Состав грунтов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МАЭД, мкЗв/ч</w:t>
            </w:r>
          </w:p>
        </w:tc>
        <w:tc>
          <w:tcPr>
            <w:tcW w:w="5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Удельная активность радионуклидов, Бк/кг</w:t>
            </w:r>
          </w:p>
        </w:tc>
      </w:tr>
      <w:tr w:rsidR="00EA357B" w:rsidRPr="00B06461" w:rsidTr="00DB6818"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  <w:lang w:val="en-US"/>
              </w:rPr>
            </w:pPr>
            <w:r w:rsidRPr="00B06461">
              <w:rPr>
                <w:sz w:val="18"/>
                <w:szCs w:val="18"/>
                <w:vertAlign w:val="superscript"/>
                <w:lang w:val="en-US"/>
              </w:rPr>
              <w:t>226</w:t>
            </w:r>
            <w:r w:rsidRPr="00B06461">
              <w:rPr>
                <w:sz w:val="18"/>
                <w:szCs w:val="18"/>
                <w:lang w:val="en-US"/>
              </w:rPr>
              <w:t>Ra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  <w:lang w:val="en-US"/>
              </w:rPr>
            </w:pPr>
            <w:r w:rsidRPr="00B06461">
              <w:rPr>
                <w:sz w:val="18"/>
                <w:szCs w:val="18"/>
                <w:vertAlign w:val="superscript"/>
                <w:lang w:val="en-US"/>
              </w:rPr>
              <w:t>232</w:t>
            </w:r>
            <w:r w:rsidRPr="00B06461">
              <w:rPr>
                <w:sz w:val="18"/>
                <w:szCs w:val="18"/>
                <w:lang w:val="en-US"/>
              </w:rPr>
              <w:t>Th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  <w:lang w:val="en-US"/>
              </w:rPr>
            </w:pPr>
            <w:r w:rsidRPr="00B06461">
              <w:rPr>
                <w:sz w:val="18"/>
                <w:szCs w:val="18"/>
                <w:vertAlign w:val="superscript"/>
                <w:lang w:val="en-US"/>
              </w:rPr>
              <w:t>40</w:t>
            </w:r>
            <w:r w:rsidRPr="00B06461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  <w:lang w:val="en-US"/>
              </w:rPr>
            </w:pPr>
            <w:r w:rsidRPr="00B06461">
              <w:rPr>
                <w:sz w:val="18"/>
                <w:szCs w:val="18"/>
                <w:vertAlign w:val="superscript"/>
                <w:lang w:val="en-US"/>
              </w:rPr>
              <w:t>137</w:t>
            </w:r>
            <w:r w:rsidRPr="00B06461">
              <w:rPr>
                <w:sz w:val="18"/>
                <w:szCs w:val="18"/>
                <w:lang w:val="en-US"/>
              </w:rPr>
              <w:t>Cs</w:t>
            </w:r>
          </w:p>
        </w:tc>
      </w:tr>
      <w:tr w:rsidR="00EA357B" w:rsidRPr="00B06461" w:rsidTr="00DB681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песок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0,10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21 ± 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14,5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2,7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280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  <w:lang w:val="en-US"/>
              </w:rPr>
              <w:t>&lt;</w:t>
            </w:r>
            <w:r w:rsidRPr="00B06461">
              <w:rPr>
                <w:sz w:val="18"/>
                <w:szCs w:val="18"/>
              </w:rPr>
              <w:t>6,0</w:t>
            </w:r>
          </w:p>
        </w:tc>
      </w:tr>
      <w:tr w:rsidR="00EA357B" w:rsidRPr="00B06461" w:rsidTr="00DB681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суглинок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0,11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34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17,0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4,5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340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103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  <w:lang w:val="en-US"/>
              </w:rPr>
              <w:t>&lt;6</w:t>
            </w:r>
            <w:r w:rsidRPr="00B06461">
              <w:rPr>
                <w:sz w:val="18"/>
                <w:szCs w:val="18"/>
              </w:rPr>
              <w:t>,0</w:t>
            </w:r>
          </w:p>
        </w:tc>
      </w:tr>
      <w:tr w:rsidR="00EA357B" w:rsidRPr="00B06461" w:rsidTr="00DB681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песок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0,11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20,8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12,5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2,3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220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  <w:lang w:val="en-US"/>
              </w:rPr>
              <w:t>&lt;</w:t>
            </w:r>
            <w:r w:rsidRPr="00B06461">
              <w:rPr>
                <w:sz w:val="18"/>
                <w:szCs w:val="18"/>
              </w:rPr>
              <w:t>5,0</w:t>
            </w:r>
          </w:p>
        </w:tc>
      </w:tr>
      <w:tr w:rsidR="00EA357B" w:rsidRPr="00B06461" w:rsidTr="00DB681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суглинок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0,12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38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19,2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4,3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310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8,0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4,2</w:t>
            </w:r>
          </w:p>
        </w:tc>
      </w:tr>
      <w:tr w:rsidR="00EA357B" w:rsidRPr="00B06461" w:rsidTr="00DB681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суглинок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0,12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51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20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360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113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  <w:lang w:val="en-US"/>
              </w:rPr>
              <w:t>&lt;</w:t>
            </w:r>
            <w:r w:rsidRPr="00B06461">
              <w:rPr>
                <w:sz w:val="18"/>
                <w:szCs w:val="18"/>
              </w:rPr>
              <w:t>7,0</w:t>
            </w:r>
          </w:p>
        </w:tc>
      </w:tr>
      <w:tr w:rsidR="00EA357B" w:rsidRPr="00B06461" w:rsidTr="00DB6818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песок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0,10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18,5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en-US"/>
              </w:rPr>
              <w:t> </w:t>
            </w:r>
            <w:r w:rsidRPr="00B06461">
              <w:rPr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10,8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2,5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</w:rPr>
            </w:pPr>
            <w:r w:rsidRPr="00B06461">
              <w:rPr>
                <w:sz w:val="18"/>
                <w:szCs w:val="18"/>
              </w:rPr>
              <w:t>215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±</w:t>
            </w:r>
            <w:r w:rsidRPr="00B06461">
              <w:rPr>
                <w:sz w:val="18"/>
                <w:szCs w:val="18"/>
                <w:lang w:val="be-BY"/>
              </w:rPr>
              <w:t> </w:t>
            </w:r>
            <w:r w:rsidRPr="00B06461">
              <w:rPr>
                <w:sz w:val="18"/>
                <w:szCs w:val="18"/>
              </w:rPr>
              <w:t>65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7B" w:rsidRPr="00B06461" w:rsidRDefault="00EA357B" w:rsidP="00DB6818">
            <w:pPr>
              <w:jc w:val="center"/>
              <w:rPr>
                <w:sz w:val="18"/>
                <w:szCs w:val="18"/>
                <w:lang w:val="en-US"/>
              </w:rPr>
            </w:pPr>
            <w:r w:rsidRPr="00B06461">
              <w:rPr>
                <w:sz w:val="18"/>
                <w:szCs w:val="18"/>
                <w:lang w:val="en-US"/>
              </w:rPr>
              <w:t>&lt;5</w:t>
            </w:r>
            <w:r w:rsidRPr="00B06461">
              <w:rPr>
                <w:sz w:val="18"/>
                <w:szCs w:val="18"/>
              </w:rPr>
              <w:t>,</w:t>
            </w:r>
            <w:r w:rsidRPr="00B06461"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EA357B" w:rsidRDefault="00EA357B" w:rsidP="00EA357B">
      <w:pPr>
        <w:jc w:val="both"/>
        <w:rPr>
          <w:sz w:val="20"/>
          <w:szCs w:val="20"/>
        </w:rPr>
      </w:pPr>
    </w:p>
    <w:p w:rsidR="00EA357B" w:rsidRPr="009070C1" w:rsidRDefault="00EA357B" w:rsidP="00EA357B">
      <w:pPr>
        <w:jc w:val="both"/>
        <w:rPr>
          <w:sz w:val="20"/>
          <w:szCs w:val="20"/>
        </w:rPr>
      </w:pPr>
    </w:p>
    <w:p w:rsidR="00EA357B" w:rsidRPr="00B3056A" w:rsidRDefault="00EA357B" w:rsidP="00EA357B">
      <w:pPr>
        <w:jc w:val="center"/>
        <w:rPr>
          <w:spacing w:val="-2"/>
          <w:sz w:val="20"/>
          <w:szCs w:val="20"/>
          <w:lang w:val="en-US"/>
        </w:rPr>
      </w:pPr>
      <w:r>
        <w:rPr>
          <w:noProof/>
          <w:spacing w:val="-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6pt;margin-top:133.95pt;width:36pt;height:27pt;z-index:251663360" filled="f" stroked="f">
            <v:textbox style="mso-next-textbox:#_x0000_s1029">
              <w:txbxContent>
                <w:p w:rsidR="00EA357B" w:rsidRDefault="00EA357B" w:rsidP="00EA357B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pacing w:val="-2"/>
          <w:sz w:val="20"/>
          <w:szCs w:val="20"/>
        </w:rPr>
        <w:pict>
          <v:shape id="_x0000_s1028" type="#_x0000_t202" style="position:absolute;left:0;text-align:left;margin-left:228pt;margin-top:133.95pt;width:48pt;height:37.05pt;z-index:251662336" filled="f" stroked="f">
            <v:textbox style="mso-next-textbox:#_x0000_s1028">
              <w:txbxContent>
                <w:p w:rsidR="00EA357B" w:rsidRDefault="00EA357B" w:rsidP="00EA357B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spacing w:val="-2"/>
          <w:sz w:val="20"/>
          <w:szCs w:val="20"/>
        </w:rPr>
        <w:pict>
          <v:shape id="_x0000_s1027" type="#_x0000_t202" style="position:absolute;left:0;text-align:left;margin-left:114pt;margin-top:133.95pt;width:36pt;height:27pt;z-index:251661312" filled="f" stroked="f">
            <v:textbox style="mso-next-textbox:#_x0000_s1027">
              <w:txbxContent>
                <w:p w:rsidR="00EA357B" w:rsidRDefault="00EA357B" w:rsidP="00EA357B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spacing w:val="-2"/>
          <w:sz w:val="20"/>
          <w:szCs w:val="20"/>
        </w:rPr>
        <w:pict>
          <v:shape id="_x0000_s1026" type="#_x0000_t202" style="position:absolute;left:0;text-align:left;margin-left:78pt;margin-top:133.95pt;width:36pt;height:27pt;z-index:251660288" filled="f" stroked="f">
            <v:textbox style="mso-next-textbox:#_x0000_s1026">
              <w:txbxContent>
                <w:p w:rsidR="00EA357B" w:rsidRDefault="00EA357B" w:rsidP="00EA357B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spacing w:val="-2"/>
          <w:sz w:val="20"/>
          <w:szCs w:val="20"/>
        </w:rPr>
        <w:drawing>
          <wp:inline distT="0" distB="0" distL="0" distR="0">
            <wp:extent cx="4857750" cy="2647950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71" t="12123" r="1176" b="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7B" w:rsidRPr="00B06461" w:rsidRDefault="00EA357B" w:rsidP="00EA357B">
      <w:pPr>
        <w:jc w:val="center"/>
        <w:rPr>
          <w:b/>
          <w:sz w:val="18"/>
          <w:szCs w:val="18"/>
          <w:lang w:val="be-BY"/>
        </w:rPr>
      </w:pPr>
      <w:r w:rsidRPr="00B06461">
        <w:rPr>
          <w:sz w:val="18"/>
          <w:szCs w:val="18"/>
        </w:rPr>
        <w:t>Рисунок 2</w:t>
      </w:r>
      <w:r w:rsidRPr="00B06461">
        <w:rPr>
          <w:sz w:val="18"/>
          <w:szCs w:val="18"/>
          <w:lang w:val="be-BY"/>
        </w:rPr>
        <w:t> </w:t>
      </w:r>
      <w:r w:rsidRPr="00B06461">
        <w:rPr>
          <w:color w:val="000000"/>
          <w:sz w:val="18"/>
          <w:szCs w:val="18"/>
          <w:lang w:val="be-BY"/>
        </w:rPr>
        <w:t>―</w:t>
      </w:r>
      <w:r w:rsidRPr="00B06461">
        <w:rPr>
          <w:sz w:val="18"/>
          <w:szCs w:val="18"/>
          <w:lang w:val="be-BY"/>
        </w:rPr>
        <w:t> </w:t>
      </w:r>
      <w:r w:rsidRPr="00B06461">
        <w:rPr>
          <w:b/>
          <w:sz w:val="18"/>
          <w:szCs w:val="18"/>
        </w:rPr>
        <w:t>Результаты измерения ППР на участках 1</w:t>
      </w:r>
      <w:r w:rsidRPr="00B06461">
        <w:rPr>
          <w:bCs/>
          <w:sz w:val="18"/>
          <w:szCs w:val="18"/>
        </w:rPr>
        <w:t>―</w:t>
      </w:r>
      <w:r w:rsidRPr="00B06461">
        <w:rPr>
          <w:b/>
          <w:sz w:val="18"/>
          <w:szCs w:val="18"/>
        </w:rPr>
        <w:t>4</w:t>
      </w:r>
      <w:r w:rsidRPr="00B06461">
        <w:rPr>
          <w:b/>
          <w:sz w:val="18"/>
          <w:szCs w:val="18"/>
          <w:lang w:val="be-BY"/>
        </w:rPr>
        <w:t xml:space="preserve">, </w:t>
      </w:r>
      <w:r w:rsidRPr="00B06461">
        <w:rPr>
          <w:iCs/>
          <w:sz w:val="18"/>
          <w:szCs w:val="18"/>
        </w:rPr>
        <w:t>мБк/(м</w:t>
      </w:r>
      <w:proofErr w:type="gramStart"/>
      <w:r w:rsidRPr="00B06461">
        <w:rPr>
          <w:iCs/>
          <w:sz w:val="18"/>
          <w:szCs w:val="18"/>
          <w:vertAlign w:val="superscript"/>
        </w:rPr>
        <w:t>2</w:t>
      </w:r>
      <w:proofErr w:type="gramEnd"/>
      <w:r w:rsidRPr="00B06461">
        <w:rPr>
          <w:iCs/>
          <w:sz w:val="18"/>
          <w:szCs w:val="18"/>
        </w:rPr>
        <w:t> · с).</w:t>
      </w:r>
    </w:p>
    <w:p w:rsidR="00EA357B" w:rsidRPr="00B06461" w:rsidRDefault="00EA357B" w:rsidP="00EA357B">
      <w:pPr>
        <w:jc w:val="both"/>
        <w:rPr>
          <w:sz w:val="20"/>
          <w:szCs w:val="20"/>
          <w:lang w:val="be-BY"/>
        </w:rPr>
      </w:pPr>
      <w:bookmarkStart w:id="13" w:name="OLE_LINK47"/>
      <w:bookmarkStart w:id="14" w:name="OLE_LINK48"/>
    </w:p>
    <w:p w:rsidR="00EA357B" w:rsidRPr="00B06461" w:rsidRDefault="00EA357B" w:rsidP="00EA357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6461">
        <w:rPr>
          <w:rFonts w:ascii="Times New Roman" w:hAnsi="Times New Roman"/>
          <w:sz w:val="16"/>
          <w:szCs w:val="20"/>
        </w:rPr>
        <w:t>Разломы земной коры Беларуси</w:t>
      </w:r>
      <w:proofErr w:type="gramStart"/>
      <w:r w:rsidRPr="00B06461">
        <w:rPr>
          <w:rFonts w:ascii="Times New Roman" w:hAnsi="Times New Roman"/>
          <w:sz w:val="16"/>
          <w:szCs w:val="20"/>
          <w:lang w:val="be-BY"/>
        </w:rPr>
        <w:t> /</w:t>
      </w:r>
      <w:r w:rsidRPr="00B06461">
        <w:rPr>
          <w:rFonts w:ascii="Times New Roman" w:hAnsi="Times New Roman"/>
          <w:i/>
          <w:sz w:val="16"/>
          <w:szCs w:val="20"/>
          <w:lang w:val="be-BY"/>
        </w:rPr>
        <w:t> </w:t>
      </w:r>
      <w:r w:rsidRPr="00B06461">
        <w:rPr>
          <w:rFonts w:ascii="Times New Roman" w:hAnsi="Times New Roman"/>
          <w:sz w:val="16"/>
          <w:szCs w:val="20"/>
          <w:lang w:val="be-BY"/>
        </w:rPr>
        <w:t>П</w:t>
      </w:r>
      <w:proofErr w:type="gramEnd"/>
      <w:r w:rsidRPr="00B06461">
        <w:rPr>
          <w:rFonts w:ascii="Times New Roman" w:hAnsi="Times New Roman"/>
          <w:sz w:val="16"/>
          <w:szCs w:val="20"/>
          <w:lang w:val="be-BY"/>
        </w:rPr>
        <w:t>од ред.</w:t>
      </w:r>
      <w:r w:rsidRPr="00B06461">
        <w:rPr>
          <w:rFonts w:ascii="Times New Roman" w:hAnsi="Times New Roman"/>
          <w:sz w:val="16"/>
          <w:szCs w:val="20"/>
        </w:rPr>
        <w:t xml:space="preserve"> Р. Е.</w:t>
      </w:r>
      <w:r w:rsidRPr="00B06461">
        <w:rPr>
          <w:rFonts w:ascii="Times New Roman" w:hAnsi="Times New Roman"/>
          <w:sz w:val="16"/>
          <w:szCs w:val="20"/>
          <w:lang w:val="be-BY"/>
        </w:rPr>
        <w:t> </w:t>
      </w:r>
      <w:r w:rsidRPr="00B06461">
        <w:rPr>
          <w:rFonts w:ascii="Times New Roman" w:hAnsi="Times New Roman"/>
          <w:sz w:val="16"/>
          <w:szCs w:val="20"/>
        </w:rPr>
        <w:t>Айзберг</w:t>
      </w:r>
      <w:r w:rsidRPr="00B06461">
        <w:rPr>
          <w:rFonts w:ascii="Times New Roman" w:hAnsi="Times New Roman"/>
          <w:sz w:val="16"/>
          <w:szCs w:val="20"/>
          <w:lang w:val="be-BY"/>
        </w:rPr>
        <w:t>а</w:t>
      </w:r>
      <w:r w:rsidRPr="00B06461">
        <w:rPr>
          <w:rFonts w:ascii="Times New Roman" w:hAnsi="Times New Roman"/>
          <w:sz w:val="16"/>
          <w:szCs w:val="20"/>
        </w:rPr>
        <w:t>. Минск: Красико-Принт, 2007. 372 с.</w:t>
      </w:r>
    </w:p>
    <w:p w:rsidR="00EA357B" w:rsidRPr="00B06461" w:rsidRDefault="00EA357B" w:rsidP="00EA357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6461">
        <w:rPr>
          <w:rFonts w:ascii="Times New Roman" w:hAnsi="Times New Roman"/>
          <w:sz w:val="16"/>
          <w:szCs w:val="20"/>
        </w:rPr>
        <w:t>Разведочная ядерная геофизика. М.: Недра, 1989. 183 </w:t>
      </w:r>
      <w:proofErr w:type="gramStart"/>
      <w:r w:rsidRPr="00B06461">
        <w:rPr>
          <w:rFonts w:ascii="Times New Roman" w:hAnsi="Times New Roman"/>
          <w:sz w:val="16"/>
          <w:szCs w:val="20"/>
        </w:rPr>
        <w:t>с</w:t>
      </w:r>
      <w:proofErr w:type="gramEnd"/>
      <w:r w:rsidRPr="00B06461">
        <w:rPr>
          <w:rFonts w:ascii="Times New Roman" w:hAnsi="Times New Roman"/>
          <w:sz w:val="16"/>
          <w:szCs w:val="20"/>
        </w:rPr>
        <w:t>.</w:t>
      </w:r>
    </w:p>
    <w:p w:rsidR="00EA357B" w:rsidRPr="00B06461" w:rsidRDefault="00EA357B" w:rsidP="00EA357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6461">
        <w:rPr>
          <w:rFonts w:ascii="Times New Roman" w:hAnsi="Times New Roman"/>
          <w:bCs/>
          <w:i/>
          <w:sz w:val="16"/>
          <w:szCs w:val="20"/>
        </w:rPr>
        <w:t>Рудаков В. П.</w:t>
      </w:r>
      <w:r w:rsidRPr="00B06461">
        <w:rPr>
          <w:rFonts w:ascii="Times New Roman" w:hAnsi="Times New Roman"/>
          <w:bCs/>
          <w:sz w:val="16"/>
          <w:szCs w:val="20"/>
          <w:lang w:val="be-BY"/>
        </w:rPr>
        <w:t> </w:t>
      </w:r>
      <w:r w:rsidRPr="00B06461">
        <w:rPr>
          <w:rFonts w:ascii="Times New Roman" w:hAnsi="Times New Roman"/>
          <w:bCs/>
          <w:sz w:val="16"/>
          <w:szCs w:val="20"/>
        </w:rPr>
        <w:t>Эманационный мониторинг геосред и процессов. М.: Научный мир, 2009. 176 </w:t>
      </w:r>
      <w:proofErr w:type="gramStart"/>
      <w:r w:rsidRPr="00B06461">
        <w:rPr>
          <w:rFonts w:ascii="Times New Roman" w:hAnsi="Times New Roman"/>
          <w:bCs/>
          <w:sz w:val="16"/>
          <w:szCs w:val="20"/>
        </w:rPr>
        <w:t>с</w:t>
      </w:r>
      <w:proofErr w:type="gramEnd"/>
      <w:r w:rsidRPr="00B06461">
        <w:rPr>
          <w:rFonts w:ascii="Times New Roman" w:hAnsi="Times New Roman"/>
          <w:bCs/>
          <w:sz w:val="16"/>
          <w:szCs w:val="20"/>
        </w:rPr>
        <w:t>.</w:t>
      </w:r>
    </w:p>
    <w:p w:rsidR="00EA357B" w:rsidRPr="00B06461" w:rsidRDefault="00EA357B" w:rsidP="00EA357B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B06461">
        <w:rPr>
          <w:rFonts w:ascii="Times New Roman" w:hAnsi="Times New Roman"/>
          <w:iCs/>
          <w:sz w:val="16"/>
          <w:szCs w:val="20"/>
        </w:rPr>
        <w:t>Карта плотности пот</w:t>
      </w:r>
      <w:r>
        <w:rPr>
          <w:rFonts w:ascii="Times New Roman" w:hAnsi="Times New Roman"/>
          <w:iCs/>
          <w:sz w:val="16"/>
          <w:szCs w:val="20"/>
        </w:rPr>
        <w:t>ока радона на территории Москвы </w:t>
      </w:r>
      <w:r w:rsidRPr="00B06461">
        <w:rPr>
          <w:rFonts w:ascii="Times New Roman" w:hAnsi="Times New Roman"/>
          <w:iCs/>
          <w:sz w:val="16"/>
          <w:szCs w:val="20"/>
        </w:rPr>
        <w:t>//</w:t>
      </w:r>
      <w:r>
        <w:rPr>
          <w:rFonts w:ascii="Times New Roman" w:hAnsi="Times New Roman"/>
          <w:iCs/>
          <w:sz w:val="16"/>
          <w:szCs w:val="20"/>
        </w:rPr>
        <w:t> </w:t>
      </w:r>
      <w:r w:rsidRPr="00B06461">
        <w:rPr>
          <w:rFonts w:ascii="Times New Roman" w:hAnsi="Times New Roman"/>
          <w:iCs/>
          <w:sz w:val="16"/>
          <w:szCs w:val="20"/>
        </w:rPr>
        <w:t>Аппаратура и новости радиационных измерений</w:t>
      </w:r>
      <w:r w:rsidRPr="00B06461">
        <w:rPr>
          <w:rFonts w:ascii="Times New Roman" w:hAnsi="Times New Roman"/>
          <w:iCs/>
          <w:sz w:val="16"/>
          <w:szCs w:val="20"/>
          <w:lang w:val="be-BY"/>
        </w:rPr>
        <w:t>.</w:t>
      </w:r>
      <w:r w:rsidRPr="00B06461">
        <w:rPr>
          <w:rFonts w:ascii="Times New Roman" w:hAnsi="Times New Roman"/>
          <w:iCs/>
          <w:sz w:val="16"/>
          <w:szCs w:val="20"/>
        </w:rPr>
        <w:t xml:space="preserve"> 2012</w:t>
      </w:r>
      <w:r w:rsidRPr="00B06461">
        <w:rPr>
          <w:rFonts w:ascii="Times New Roman" w:hAnsi="Times New Roman"/>
          <w:iCs/>
          <w:sz w:val="16"/>
          <w:szCs w:val="20"/>
          <w:lang w:val="be-BY"/>
        </w:rPr>
        <w:t>.</w:t>
      </w:r>
      <w:r w:rsidRPr="00B06461">
        <w:rPr>
          <w:rFonts w:ascii="Times New Roman" w:hAnsi="Times New Roman"/>
          <w:iCs/>
          <w:sz w:val="16"/>
          <w:szCs w:val="20"/>
        </w:rPr>
        <w:t xml:space="preserve"> №</w:t>
      </w:r>
      <w:r>
        <w:rPr>
          <w:rFonts w:ascii="Times New Roman" w:hAnsi="Times New Roman"/>
          <w:iCs/>
          <w:sz w:val="16"/>
          <w:szCs w:val="20"/>
        </w:rPr>
        <w:t> </w:t>
      </w:r>
      <w:r w:rsidRPr="00B06461">
        <w:rPr>
          <w:rFonts w:ascii="Times New Roman" w:hAnsi="Times New Roman"/>
          <w:iCs/>
          <w:sz w:val="16"/>
          <w:szCs w:val="20"/>
        </w:rPr>
        <w:t>3. С. 15</w:t>
      </w:r>
      <w:r w:rsidRPr="00B06461">
        <w:rPr>
          <w:rFonts w:ascii="Times New Roman" w:hAnsi="Times New Roman"/>
          <w:bCs/>
          <w:sz w:val="16"/>
        </w:rPr>
        <w:t>―</w:t>
      </w:r>
      <w:r w:rsidRPr="00B06461">
        <w:rPr>
          <w:rFonts w:ascii="Times New Roman" w:hAnsi="Times New Roman"/>
          <w:iCs/>
          <w:sz w:val="16"/>
          <w:szCs w:val="20"/>
        </w:rPr>
        <w:t>24</w:t>
      </w:r>
      <w:r w:rsidRPr="00B06461">
        <w:rPr>
          <w:rFonts w:ascii="Times New Roman" w:hAnsi="Times New Roman"/>
          <w:iCs/>
          <w:sz w:val="16"/>
          <w:szCs w:val="20"/>
          <w:lang w:val="be-BY"/>
        </w:rPr>
        <w:t>.</w:t>
      </w:r>
    </w:p>
    <w:bookmarkEnd w:id="13"/>
    <w:bookmarkEnd w:id="14"/>
    <w:p w:rsidR="00EA357B" w:rsidRPr="003D48FF" w:rsidRDefault="00EA357B" w:rsidP="00EA357B">
      <w:pPr>
        <w:jc w:val="center"/>
        <w:rPr>
          <w:sz w:val="20"/>
          <w:szCs w:val="20"/>
        </w:rPr>
      </w:pPr>
    </w:p>
    <w:p w:rsidR="009069C9" w:rsidRDefault="00641BE8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6717"/>
    <w:multiLevelType w:val="hybridMultilevel"/>
    <w:tmpl w:val="599AD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357B"/>
    <w:rsid w:val="00196E57"/>
    <w:rsid w:val="003B6038"/>
    <w:rsid w:val="004A7217"/>
    <w:rsid w:val="00593281"/>
    <w:rsid w:val="00641BE8"/>
    <w:rsid w:val="00720BC4"/>
    <w:rsid w:val="00EA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7B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3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57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6505</Characters>
  <Application>Microsoft Office Word</Application>
  <DocSecurity>0</DocSecurity>
  <Lines>54</Lines>
  <Paragraphs>15</Paragraphs>
  <ScaleCrop>false</ScaleCrop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2013-09-24T08:36:00Z</dcterms:created>
  <dcterms:modified xsi:type="dcterms:W3CDTF">2013-09-24T08:36:00Z</dcterms:modified>
</cp:coreProperties>
</file>