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A1C" w:rsidRPr="00EC4F05" w:rsidRDefault="00391A1C" w:rsidP="00391A1C">
      <w:pPr>
        <w:spacing w:before="240"/>
        <w:contextualSpacing/>
        <w:jc w:val="center"/>
        <w:rPr>
          <w:sz w:val="20"/>
          <w:szCs w:val="20"/>
        </w:rPr>
      </w:pPr>
    </w:p>
    <w:p w:rsidR="00391A1C" w:rsidRPr="00EC4F05" w:rsidRDefault="00391A1C" w:rsidP="00391A1C">
      <w:pPr>
        <w:contextualSpacing/>
        <w:jc w:val="center"/>
        <w:rPr>
          <w:b/>
          <w:sz w:val="20"/>
          <w:szCs w:val="20"/>
          <w:vertAlign w:val="superscript"/>
        </w:rPr>
      </w:pPr>
      <w:r w:rsidRPr="00EC4F05">
        <w:rPr>
          <w:b/>
          <w:sz w:val="20"/>
          <w:szCs w:val="20"/>
        </w:rPr>
        <w:t>Н.</w:t>
      </w:r>
      <w:r w:rsidRPr="00EC4F05">
        <w:rPr>
          <w:b/>
          <w:sz w:val="20"/>
          <w:szCs w:val="20"/>
          <w:lang w:val="en-US"/>
        </w:rPr>
        <w:t> </w:t>
      </w:r>
      <w:r w:rsidRPr="00EC4F05">
        <w:rPr>
          <w:b/>
          <w:sz w:val="20"/>
          <w:szCs w:val="20"/>
        </w:rPr>
        <w:t>С.</w:t>
      </w:r>
      <w:r w:rsidRPr="00EC4F05">
        <w:rPr>
          <w:b/>
          <w:sz w:val="20"/>
          <w:szCs w:val="20"/>
          <w:lang w:val="en-US"/>
        </w:rPr>
        <w:t> </w:t>
      </w:r>
      <w:r w:rsidRPr="00EC4F05">
        <w:rPr>
          <w:b/>
          <w:sz w:val="20"/>
          <w:szCs w:val="20"/>
        </w:rPr>
        <w:t>Петрова</w:t>
      </w:r>
      <w:r w:rsidRPr="00EC4F05">
        <w:rPr>
          <w:sz w:val="20"/>
          <w:szCs w:val="20"/>
          <w:vertAlign w:val="superscript"/>
        </w:rPr>
        <w:t>1</w:t>
      </w:r>
      <w:r w:rsidRPr="00EC4F05">
        <w:rPr>
          <w:b/>
          <w:sz w:val="20"/>
          <w:szCs w:val="20"/>
        </w:rPr>
        <w:t>, Н.</w:t>
      </w:r>
      <w:r w:rsidRPr="00EC4F05">
        <w:rPr>
          <w:b/>
          <w:sz w:val="20"/>
          <w:szCs w:val="20"/>
          <w:lang w:val="en-US"/>
        </w:rPr>
        <w:t> </w:t>
      </w:r>
      <w:r w:rsidRPr="00EC4F05">
        <w:rPr>
          <w:b/>
          <w:sz w:val="20"/>
          <w:szCs w:val="20"/>
        </w:rPr>
        <w:t>Ю.</w:t>
      </w:r>
      <w:r w:rsidRPr="00EC4F05">
        <w:rPr>
          <w:b/>
          <w:sz w:val="20"/>
          <w:szCs w:val="20"/>
          <w:lang w:val="en-US"/>
        </w:rPr>
        <w:t> </w:t>
      </w:r>
      <w:r w:rsidRPr="00EC4F05">
        <w:rPr>
          <w:b/>
          <w:sz w:val="20"/>
          <w:szCs w:val="20"/>
        </w:rPr>
        <w:t>Денисова</w:t>
      </w:r>
      <w:r w:rsidRPr="00EC4F05">
        <w:rPr>
          <w:sz w:val="20"/>
          <w:szCs w:val="20"/>
          <w:vertAlign w:val="superscript"/>
        </w:rPr>
        <w:t>2</w:t>
      </w:r>
    </w:p>
    <w:p w:rsidR="00391A1C" w:rsidRPr="00EC4F05" w:rsidRDefault="00391A1C" w:rsidP="00391A1C">
      <w:pPr>
        <w:contextualSpacing/>
        <w:jc w:val="center"/>
        <w:rPr>
          <w:sz w:val="18"/>
          <w:szCs w:val="18"/>
        </w:rPr>
      </w:pPr>
    </w:p>
    <w:p w:rsidR="00391A1C" w:rsidRPr="00EC4F05" w:rsidRDefault="00391A1C" w:rsidP="00391A1C">
      <w:pPr>
        <w:contextualSpacing/>
        <w:jc w:val="center"/>
        <w:outlineLvl w:val="0"/>
        <w:rPr>
          <w:sz w:val="18"/>
          <w:szCs w:val="18"/>
        </w:rPr>
      </w:pPr>
      <w:r w:rsidRPr="00EC4F05">
        <w:rPr>
          <w:sz w:val="18"/>
          <w:szCs w:val="18"/>
          <w:vertAlign w:val="superscript"/>
        </w:rPr>
        <w:t>1</w:t>
      </w:r>
      <w:r w:rsidRPr="00EC4F05">
        <w:rPr>
          <w:sz w:val="18"/>
          <w:szCs w:val="18"/>
        </w:rPr>
        <w:t> Белорусский государственный университет</w:t>
      </w:r>
    </w:p>
    <w:p w:rsidR="00391A1C" w:rsidRPr="006576C7" w:rsidRDefault="00391A1C" w:rsidP="00391A1C">
      <w:pPr>
        <w:contextualSpacing/>
        <w:jc w:val="center"/>
        <w:rPr>
          <w:sz w:val="18"/>
          <w:szCs w:val="18"/>
        </w:rPr>
      </w:pPr>
      <w:r w:rsidRPr="00EC4F05">
        <w:rPr>
          <w:sz w:val="18"/>
          <w:szCs w:val="18"/>
          <w:vertAlign w:val="superscript"/>
        </w:rPr>
        <w:t>2</w:t>
      </w:r>
      <w:r w:rsidRPr="00EC4F05">
        <w:rPr>
          <w:sz w:val="18"/>
          <w:szCs w:val="18"/>
        </w:rPr>
        <w:t> Государственное предприятие «БелНИГРИ»</w:t>
      </w:r>
    </w:p>
    <w:p w:rsidR="00391A1C" w:rsidRPr="006576C7" w:rsidRDefault="00391A1C" w:rsidP="00391A1C">
      <w:pPr>
        <w:contextualSpacing/>
        <w:jc w:val="center"/>
        <w:rPr>
          <w:sz w:val="18"/>
          <w:szCs w:val="18"/>
        </w:rPr>
      </w:pPr>
    </w:p>
    <w:p w:rsidR="00391A1C" w:rsidRPr="00EC4F05" w:rsidRDefault="00391A1C" w:rsidP="00391A1C">
      <w:pPr>
        <w:contextualSpacing/>
        <w:jc w:val="center"/>
        <w:rPr>
          <w:rFonts w:eastAsia="+mn-ea"/>
          <w:b/>
          <w:bCs/>
          <w:sz w:val="20"/>
          <w:szCs w:val="20"/>
        </w:rPr>
      </w:pPr>
      <w:r w:rsidRPr="00EC4F05">
        <w:rPr>
          <w:rFonts w:eastAsia="+mn-ea"/>
          <w:b/>
          <w:bCs/>
          <w:sz w:val="20"/>
          <w:szCs w:val="20"/>
        </w:rPr>
        <w:t>СРАВНИТЕЛЬНАЯ ХАРАКТЕРИСТИКА КАЛИЙНЫХ РУД ЗАЛЕЖЕЙ</w:t>
      </w:r>
    </w:p>
    <w:p w:rsidR="00391A1C" w:rsidRPr="00EC4F05" w:rsidRDefault="00391A1C" w:rsidP="00391A1C">
      <w:pPr>
        <w:contextualSpacing/>
        <w:jc w:val="center"/>
        <w:rPr>
          <w:rFonts w:eastAsia="+mn-ea"/>
          <w:b/>
          <w:bCs/>
          <w:sz w:val="20"/>
          <w:szCs w:val="20"/>
        </w:rPr>
      </w:pPr>
      <w:r w:rsidRPr="00EC4F05">
        <w:rPr>
          <w:rFonts w:eastAsia="+mn-ea"/>
          <w:b/>
          <w:bCs/>
          <w:sz w:val="20"/>
          <w:szCs w:val="20"/>
        </w:rPr>
        <w:t>СМОЛОВСКОГО, НЕЖИНСКОГО УЧАСТКОВ И ДЕЙСТВУЮЩИХ ШАХТНЫХ ПОЛЕЙ</w:t>
      </w:r>
    </w:p>
    <w:p w:rsidR="00391A1C" w:rsidRPr="00EC4F05" w:rsidRDefault="00391A1C" w:rsidP="00391A1C">
      <w:pPr>
        <w:contextualSpacing/>
        <w:jc w:val="center"/>
        <w:rPr>
          <w:rFonts w:eastAsia="+mn-ea"/>
          <w:b/>
          <w:bCs/>
          <w:sz w:val="20"/>
          <w:szCs w:val="20"/>
        </w:rPr>
      </w:pPr>
      <w:r w:rsidRPr="00EC4F05">
        <w:rPr>
          <w:rFonts w:eastAsia="+mn-ea"/>
          <w:b/>
          <w:bCs/>
          <w:sz w:val="20"/>
          <w:szCs w:val="20"/>
        </w:rPr>
        <w:t>СТАРОБИНСКОГО МЕСТОР</w:t>
      </w:r>
      <w:r w:rsidRPr="00EC4F05">
        <w:rPr>
          <w:rFonts w:eastAsia="+mn-ea"/>
          <w:b/>
          <w:bCs/>
          <w:sz w:val="20"/>
          <w:szCs w:val="20"/>
        </w:rPr>
        <w:t>О</w:t>
      </w:r>
      <w:r w:rsidRPr="00EC4F05">
        <w:rPr>
          <w:rFonts w:eastAsia="+mn-ea"/>
          <w:b/>
          <w:bCs/>
          <w:sz w:val="20"/>
          <w:szCs w:val="20"/>
        </w:rPr>
        <w:t>ЖДЕНИЯ</w:t>
      </w:r>
    </w:p>
    <w:p w:rsidR="00391A1C" w:rsidRPr="00EC4F05" w:rsidRDefault="00391A1C" w:rsidP="00391A1C">
      <w:pPr>
        <w:ind w:firstLine="340"/>
        <w:contextualSpacing/>
        <w:jc w:val="both"/>
        <w:rPr>
          <w:sz w:val="20"/>
          <w:szCs w:val="20"/>
        </w:rPr>
      </w:pPr>
    </w:p>
    <w:p w:rsidR="00391A1C" w:rsidRPr="00EC4F05" w:rsidRDefault="00391A1C" w:rsidP="00391A1C">
      <w:pPr>
        <w:ind w:firstLine="340"/>
        <w:contextualSpacing/>
        <w:jc w:val="both"/>
        <w:rPr>
          <w:sz w:val="20"/>
          <w:szCs w:val="20"/>
        </w:rPr>
      </w:pPr>
      <w:r w:rsidRPr="00EC4F05">
        <w:rPr>
          <w:sz w:val="20"/>
          <w:szCs w:val="20"/>
        </w:rPr>
        <w:t>На основе изучения петрографических особенностей сильвинитов I, II и III промышленных калийных горизон</w:t>
      </w:r>
      <w:r>
        <w:rPr>
          <w:sz w:val="20"/>
          <w:szCs w:val="20"/>
        </w:rPr>
        <w:t>тов Смоловского участка проведё</w:t>
      </w:r>
      <w:r w:rsidRPr="00EC4F05">
        <w:rPr>
          <w:sz w:val="20"/>
          <w:szCs w:val="20"/>
        </w:rPr>
        <w:t>н сравнительный анализ с рудами аналогичных горизонтов на Н</w:t>
      </w:r>
      <w:r w:rsidRPr="00EC4F05">
        <w:rPr>
          <w:sz w:val="20"/>
          <w:szCs w:val="20"/>
        </w:rPr>
        <w:t>е</w:t>
      </w:r>
      <w:r w:rsidRPr="00EC4F05">
        <w:rPr>
          <w:sz w:val="20"/>
          <w:szCs w:val="20"/>
        </w:rPr>
        <w:t>жинском участке и шахтном поле 5</w:t>
      </w:r>
      <w:r w:rsidRPr="00EC4F05">
        <w:rPr>
          <w:sz w:val="20"/>
          <w:szCs w:val="20"/>
          <w:lang w:val="en-US"/>
        </w:rPr>
        <w:t> </w:t>
      </w:r>
      <w:r w:rsidRPr="00EC4F05">
        <w:rPr>
          <w:sz w:val="20"/>
          <w:szCs w:val="20"/>
        </w:rPr>
        <w:t>РУ (ранее</w:t>
      </w:r>
      <w:r w:rsidRPr="00EC4F05">
        <w:rPr>
          <w:sz w:val="22"/>
          <w:szCs w:val="20"/>
          <w:lang w:val="en-US"/>
        </w:rPr>
        <w:t> </w:t>
      </w:r>
      <w:r w:rsidRPr="00EC4F05">
        <w:rPr>
          <w:bCs/>
          <w:sz w:val="20"/>
          <w:szCs w:val="22"/>
        </w:rPr>
        <w:t>―</w:t>
      </w:r>
      <w:r w:rsidRPr="00EC4F05">
        <w:rPr>
          <w:bCs/>
          <w:sz w:val="20"/>
          <w:szCs w:val="22"/>
          <w:lang w:val="en-US"/>
        </w:rPr>
        <w:t> </w:t>
      </w:r>
      <w:r w:rsidRPr="00EC4F05">
        <w:rPr>
          <w:sz w:val="20"/>
          <w:szCs w:val="20"/>
        </w:rPr>
        <w:t>Краснослободский участок).</w:t>
      </w:r>
    </w:p>
    <w:p w:rsidR="00391A1C" w:rsidRPr="00EC4F05" w:rsidRDefault="00391A1C" w:rsidP="00391A1C">
      <w:pPr>
        <w:ind w:firstLine="340"/>
        <w:contextualSpacing/>
        <w:jc w:val="both"/>
        <w:rPr>
          <w:sz w:val="20"/>
          <w:szCs w:val="20"/>
        </w:rPr>
      </w:pPr>
      <w:r w:rsidRPr="00EC4F05">
        <w:rPr>
          <w:sz w:val="20"/>
          <w:szCs w:val="20"/>
        </w:rPr>
        <w:t>Практическое значение этих исследований несомненно, т. </w:t>
      </w:r>
      <w:r>
        <w:rPr>
          <w:sz w:val="20"/>
          <w:szCs w:val="20"/>
        </w:rPr>
        <w:t>к. ещё</w:t>
      </w:r>
      <w:r w:rsidRPr="00EC4F05">
        <w:rPr>
          <w:sz w:val="20"/>
          <w:szCs w:val="20"/>
        </w:rPr>
        <w:t xml:space="preserve"> до проведения технологических иссл</w:t>
      </w:r>
      <w:r w:rsidRPr="00EC4F05">
        <w:rPr>
          <w:sz w:val="20"/>
          <w:szCs w:val="20"/>
        </w:rPr>
        <w:t>е</w:t>
      </w:r>
      <w:r w:rsidRPr="00EC4F05">
        <w:rPr>
          <w:sz w:val="20"/>
          <w:szCs w:val="20"/>
        </w:rPr>
        <w:t>дований предполагалось показать, насколько руды калийных горизонтов Смоловского участка сходны с рудами распол</w:t>
      </w:r>
      <w:r w:rsidRPr="00EC4F05">
        <w:rPr>
          <w:sz w:val="20"/>
          <w:szCs w:val="20"/>
        </w:rPr>
        <w:t>о</w:t>
      </w:r>
      <w:r w:rsidRPr="00EC4F05">
        <w:rPr>
          <w:sz w:val="20"/>
          <w:szCs w:val="20"/>
        </w:rPr>
        <w:t>женного рядом Нежинского участка и шахтных полей Старобинского месторождения. Это сравнение та</w:t>
      </w:r>
      <w:r>
        <w:rPr>
          <w:sz w:val="20"/>
          <w:szCs w:val="20"/>
        </w:rPr>
        <w:t>кже важно, потому что для подсчё</w:t>
      </w:r>
      <w:r w:rsidRPr="00EC4F05">
        <w:rPr>
          <w:sz w:val="20"/>
          <w:szCs w:val="20"/>
        </w:rPr>
        <w:t>та запасов на Смоловском участке ранее были приняты кондиции Краснослободского учас</w:t>
      </w:r>
      <w:r w:rsidRPr="00EC4F05">
        <w:rPr>
          <w:sz w:val="20"/>
          <w:szCs w:val="20"/>
        </w:rPr>
        <w:t>т</w:t>
      </w:r>
      <w:r w:rsidRPr="00EC4F05">
        <w:rPr>
          <w:sz w:val="20"/>
          <w:szCs w:val="20"/>
        </w:rPr>
        <w:t>ка. Основное промышленное значение в пределах Смоловского участка имеет продуктивный пласт III калийного горизонта, запасы руды которого по категориям С</w:t>
      </w:r>
      <w:r w:rsidRPr="00EC4F05">
        <w:rPr>
          <w:sz w:val="20"/>
          <w:szCs w:val="20"/>
          <w:vertAlign w:val="subscript"/>
        </w:rPr>
        <w:t>1</w:t>
      </w:r>
      <w:r w:rsidRPr="00EC4F05">
        <w:rPr>
          <w:sz w:val="20"/>
          <w:szCs w:val="20"/>
        </w:rPr>
        <w:t xml:space="preserve"> и С</w:t>
      </w:r>
      <w:r w:rsidRPr="00EC4F05">
        <w:rPr>
          <w:sz w:val="20"/>
          <w:szCs w:val="20"/>
          <w:vertAlign w:val="subscript"/>
        </w:rPr>
        <w:t>2</w:t>
      </w:r>
      <w:r w:rsidRPr="00EC4F05">
        <w:rPr>
          <w:sz w:val="20"/>
          <w:szCs w:val="20"/>
        </w:rPr>
        <w:t xml:space="preserve"> составляют 1</w:t>
      </w:r>
      <w:r w:rsidRPr="00EC4F05">
        <w:rPr>
          <w:sz w:val="20"/>
          <w:szCs w:val="20"/>
          <w:lang w:val="en-US"/>
        </w:rPr>
        <w:t> </w:t>
      </w:r>
      <w:r w:rsidRPr="00EC4F05">
        <w:rPr>
          <w:sz w:val="20"/>
          <w:szCs w:val="20"/>
        </w:rPr>
        <w:t>647,26</w:t>
      </w:r>
      <w:r w:rsidRPr="00EC4F05">
        <w:rPr>
          <w:sz w:val="20"/>
          <w:szCs w:val="20"/>
          <w:lang w:val="en-US"/>
        </w:rPr>
        <w:t> </w:t>
      </w:r>
      <w:r w:rsidRPr="00EC4F05">
        <w:rPr>
          <w:sz w:val="20"/>
          <w:szCs w:val="20"/>
        </w:rPr>
        <w:t>млн</w:t>
      </w:r>
      <w:r w:rsidRPr="00EC4F05">
        <w:rPr>
          <w:sz w:val="20"/>
          <w:szCs w:val="20"/>
          <w:lang w:val="en-US"/>
        </w:rPr>
        <w:t> </w:t>
      </w:r>
      <w:r w:rsidRPr="00EC4F05">
        <w:rPr>
          <w:sz w:val="20"/>
          <w:szCs w:val="20"/>
        </w:rPr>
        <w:t>т сырых солей (309,27</w:t>
      </w:r>
      <w:r w:rsidRPr="00EC4F05">
        <w:rPr>
          <w:sz w:val="20"/>
          <w:szCs w:val="20"/>
          <w:lang w:val="en-US"/>
        </w:rPr>
        <w:t> </w:t>
      </w:r>
      <w:r w:rsidRPr="00EC4F05">
        <w:rPr>
          <w:sz w:val="20"/>
          <w:szCs w:val="20"/>
        </w:rPr>
        <w:t>млн</w:t>
      </w:r>
      <w:r w:rsidRPr="00EC4F05">
        <w:rPr>
          <w:sz w:val="20"/>
          <w:szCs w:val="20"/>
          <w:lang w:val="en-US"/>
        </w:rPr>
        <w:t> </w:t>
      </w:r>
      <w:r w:rsidRPr="00EC4F05">
        <w:rPr>
          <w:sz w:val="20"/>
          <w:szCs w:val="20"/>
        </w:rPr>
        <w:t>т К</w:t>
      </w:r>
      <w:r w:rsidRPr="00EC4F05">
        <w:rPr>
          <w:sz w:val="20"/>
          <w:szCs w:val="20"/>
          <w:vertAlign w:val="subscript"/>
        </w:rPr>
        <w:t>2</w:t>
      </w:r>
      <w:r w:rsidRPr="00EC4F05">
        <w:rPr>
          <w:sz w:val="20"/>
          <w:szCs w:val="20"/>
        </w:rPr>
        <w:t>О) по комбинированному варианту отработки или 1</w:t>
      </w:r>
      <w:r w:rsidRPr="00EC4F05">
        <w:rPr>
          <w:sz w:val="20"/>
          <w:szCs w:val="20"/>
          <w:lang w:val="en-US"/>
        </w:rPr>
        <w:t> </w:t>
      </w:r>
      <w:r w:rsidRPr="00EC4F05">
        <w:rPr>
          <w:sz w:val="20"/>
          <w:szCs w:val="20"/>
        </w:rPr>
        <w:t>358,81</w:t>
      </w:r>
      <w:r w:rsidRPr="00EC4F05">
        <w:rPr>
          <w:sz w:val="20"/>
          <w:szCs w:val="20"/>
          <w:lang w:val="en-US"/>
        </w:rPr>
        <w:t> </w:t>
      </w:r>
      <w:r w:rsidRPr="00EC4F05">
        <w:rPr>
          <w:sz w:val="20"/>
          <w:szCs w:val="20"/>
        </w:rPr>
        <w:t>млн т сырых солей (298</w:t>
      </w:r>
      <w:r w:rsidRPr="00EC4F05">
        <w:rPr>
          <w:sz w:val="20"/>
          <w:szCs w:val="20"/>
          <w:lang w:val="en-US"/>
        </w:rPr>
        <w:t> </w:t>
      </w:r>
      <w:r w:rsidRPr="00EC4F05">
        <w:rPr>
          <w:sz w:val="20"/>
          <w:szCs w:val="20"/>
        </w:rPr>
        <w:t>млн т) по селективному варианту. Запасы руд этого горизонта достаточны для строительства крупного калийного предприятия по производству к</w:t>
      </w:r>
      <w:r w:rsidRPr="00EC4F05">
        <w:rPr>
          <w:sz w:val="20"/>
          <w:szCs w:val="20"/>
        </w:rPr>
        <w:t>а</w:t>
      </w:r>
      <w:r w:rsidRPr="00EC4F05">
        <w:rPr>
          <w:sz w:val="20"/>
          <w:szCs w:val="20"/>
        </w:rPr>
        <w:t>лийных удобрений. Запасы руд</w:t>
      </w:r>
      <w:r w:rsidRPr="00EC4F05">
        <w:rPr>
          <w:sz w:val="20"/>
          <w:szCs w:val="20"/>
          <w:lang w:val="en-US"/>
        </w:rPr>
        <w:t> </w:t>
      </w:r>
      <w:r w:rsidRPr="00EC4F05">
        <w:rPr>
          <w:sz w:val="20"/>
          <w:szCs w:val="20"/>
        </w:rPr>
        <w:t>I горизонта при валовом варианте отработки классифицированы по категории С</w:t>
      </w:r>
      <w:r w:rsidRPr="00EC4F05">
        <w:rPr>
          <w:sz w:val="20"/>
          <w:szCs w:val="20"/>
          <w:vertAlign w:val="subscript"/>
        </w:rPr>
        <w:t>2</w:t>
      </w:r>
      <w:r w:rsidRPr="00EC4F05">
        <w:rPr>
          <w:sz w:val="20"/>
          <w:szCs w:val="20"/>
        </w:rPr>
        <w:t xml:space="preserve"> в количестве 408,29</w:t>
      </w:r>
      <w:r w:rsidRPr="00EC4F05">
        <w:rPr>
          <w:sz w:val="20"/>
          <w:szCs w:val="20"/>
          <w:lang w:val="en-US"/>
        </w:rPr>
        <w:t> </w:t>
      </w:r>
      <w:r w:rsidRPr="00EC4F05">
        <w:rPr>
          <w:sz w:val="20"/>
          <w:szCs w:val="20"/>
        </w:rPr>
        <w:t>млн</w:t>
      </w:r>
      <w:r w:rsidRPr="00EC4F05">
        <w:rPr>
          <w:sz w:val="20"/>
          <w:szCs w:val="20"/>
          <w:lang w:val="en-US"/>
        </w:rPr>
        <w:t> </w:t>
      </w:r>
      <w:r w:rsidRPr="00EC4F05">
        <w:rPr>
          <w:sz w:val="20"/>
          <w:szCs w:val="20"/>
        </w:rPr>
        <w:t>т сырых солей (78,08</w:t>
      </w:r>
      <w:r w:rsidRPr="00EC4F05">
        <w:rPr>
          <w:sz w:val="20"/>
          <w:szCs w:val="20"/>
          <w:lang w:val="en-US"/>
        </w:rPr>
        <w:t> </w:t>
      </w:r>
      <w:r w:rsidRPr="00EC4F05">
        <w:rPr>
          <w:sz w:val="20"/>
          <w:szCs w:val="20"/>
        </w:rPr>
        <w:t>млн</w:t>
      </w:r>
      <w:r w:rsidRPr="00EC4F05">
        <w:rPr>
          <w:sz w:val="20"/>
          <w:szCs w:val="20"/>
          <w:lang w:val="en-US"/>
        </w:rPr>
        <w:t> </w:t>
      </w:r>
      <w:r w:rsidRPr="00EC4F05">
        <w:rPr>
          <w:sz w:val="20"/>
          <w:szCs w:val="20"/>
        </w:rPr>
        <w:t>т К</w:t>
      </w:r>
      <w:r w:rsidRPr="00EC4F05">
        <w:rPr>
          <w:sz w:val="20"/>
          <w:szCs w:val="20"/>
          <w:vertAlign w:val="subscript"/>
        </w:rPr>
        <w:t>2</w:t>
      </w:r>
      <w:r w:rsidRPr="00EC4F05">
        <w:rPr>
          <w:sz w:val="20"/>
          <w:szCs w:val="20"/>
        </w:rPr>
        <w:t>О).</w:t>
      </w:r>
    </w:p>
    <w:p w:rsidR="00391A1C" w:rsidRPr="00EC4F05" w:rsidRDefault="00391A1C" w:rsidP="00391A1C">
      <w:pPr>
        <w:ind w:firstLine="340"/>
        <w:contextualSpacing/>
        <w:jc w:val="both"/>
        <w:rPr>
          <w:sz w:val="20"/>
          <w:szCs w:val="20"/>
        </w:rPr>
      </w:pPr>
      <w:r w:rsidRPr="00EC4F05">
        <w:rPr>
          <w:sz w:val="20"/>
          <w:szCs w:val="20"/>
        </w:rPr>
        <w:t>При срав</w:t>
      </w:r>
      <w:r>
        <w:rPr>
          <w:sz w:val="20"/>
          <w:szCs w:val="20"/>
        </w:rPr>
        <w:t>нении учитывались: мощность слоё</w:t>
      </w:r>
      <w:r w:rsidRPr="00EC4F05">
        <w:rPr>
          <w:sz w:val="20"/>
          <w:szCs w:val="20"/>
        </w:rPr>
        <w:t>в, количество в них пакетов, мощность сильвинитовых прослоев (индивидуальная и суммарная), мощность прослоев галопелитов (индивидуальная и суммарная), окраска сильвин</w:t>
      </w:r>
      <w:r w:rsidRPr="00EC4F05">
        <w:rPr>
          <w:sz w:val="20"/>
          <w:szCs w:val="20"/>
        </w:rPr>
        <w:t>и</w:t>
      </w:r>
      <w:r w:rsidRPr="00EC4F05">
        <w:rPr>
          <w:sz w:val="20"/>
          <w:szCs w:val="20"/>
        </w:rPr>
        <w:t>тов и особенности структуры, состав галопелитов. Основное внимание при исследовании было уделено образов</w:t>
      </w:r>
      <w:r w:rsidRPr="00EC4F05">
        <w:rPr>
          <w:sz w:val="20"/>
          <w:szCs w:val="20"/>
        </w:rPr>
        <w:t>а</w:t>
      </w:r>
      <w:r w:rsidRPr="00EC4F05">
        <w:rPr>
          <w:sz w:val="20"/>
          <w:szCs w:val="20"/>
        </w:rPr>
        <w:t xml:space="preserve">ниям III калийного горизонта, представляющего наибольший промышленный интерес. </w:t>
      </w:r>
    </w:p>
    <w:p w:rsidR="00391A1C" w:rsidRPr="00EC4F05" w:rsidRDefault="00391A1C" w:rsidP="00391A1C">
      <w:pPr>
        <w:ind w:firstLine="340"/>
        <w:contextualSpacing/>
        <w:jc w:val="both"/>
        <w:outlineLvl w:val="0"/>
        <w:rPr>
          <w:b/>
          <w:sz w:val="20"/>
          <w:szCs w:val="20"/>
          <w:u w:val="single"/>
        </w:rPr>
      </w:pPr>
      <w:r w:rsidRPr="00EC4F05">
        <w:rPr>
          <w:sz w:val="20"/>
          <w:szCs w:val="20"/>
        </w:rPr>
        <w:t>В составе нижнего сильвинитового (продуктивного) пласта III калийного горизонта выделяется четыре сильв</w:t>
      </w:r>
      <w:r w:rsidRPr="00EC4F05">
        <w:rPr>
          <w:sz w:val="20"/>
          <w:szCs w:val="20"/>
        </w:rPr>
        <w:t>и</w:t>
      </w:r>
      <w:r>
        <w:rPr>
          <w:sz w:val="20"/>
          <w:szCs w:val="20"/>
        </w:rPr>
        <w:t>нитовых слоя, разделё</w:t>
      </w:r>
      <w:r w:rsidRPr="00EC4F05">
        <w:rPr>
          <w:sz w:val="20"/>
          <w:szCs w:val="20"/>
        </w:rPr>
        <w:t>нных каменной солью. На Смоловском участке, как и на Нежинском и действующих шах</w:t>
      </w:r>
      <w:r w:rsidRPr="00EC4F05">
        <w:rPr>
          <w:sz w:val="20"/>
          <w:szCs w:val="20"/>
        </w:rPr>
        <w:t>т</w:t>
      </w:r>
      <w:r w:rsidRPr="00EC4F05">
        <w:rPr>
          <w:sz w:val="20"/>
          <w:szCs w:val="20"/>
        </w:rPr>
        <w:t>ных полях Старобинского месторождения сильвинитовый слой</w:t>
      </w:r>
      <w:r w:rsidRPr="00EC4F05">
        <w:rPr>
          <w:sz w:val="20"/>
          <w:szCs w:val="20"/>
          <w:lang w:val="en-US"/>
        </w:rPr>
        <w:t> </w:t>
      </w:r>
      <w:r w:rsidRPr="00EC4F05">
        <w:rPr>
          <w:sz w:val="20"/>
          <w:szCs w:val="20"/>
        </w:rPr>
        <w:t>1 из-за малой мощности и бе</w:t>
      </w:r>
      <w:r w:rsidRPr="00EC4F05">
        <w:rPr>
          <w:sz w:val="20"/>
          <w:szCs w:val="20"/>
        </w:rPr>
        <w:t>д</w:t>
      </w:r>
      <w:r w:rsidRPr="00EC4F05">
        <w:rPr>
          <w:sz w:val="20"/>
          <w:szCs w:val="20"/>
        </w:rPr>
        <w:t>ных по составу руд не имеет промышленного значения. Требованиям кондиций по мощности и качеству отвечают слои 2, 3 и 4. Слои 2 и 3 совместно с разделяющей их каменной солью включаются в про</w:t>
      </w:r>
      <w:r>
        <w:rPr>
          <w:sz w:val="20"/>
          <w:szCs w:val="20"/>
        </w:rPr>
        <w:t>дуктивные пласты различного объё</w:t>
      </w:r>
      <w:r w:rsidRPr="00EC4F05">
        <w:rPr>
          <w:sz w:val="20"/>
          <w:szCs w:val="20"/>
        </w:rPr>
        <w:t>ма для отрабо</w:t>
      </w:r>
      <w:r w:rsidRPr="00EC4F05">
        <w:rPr>
          <w:sz w:val="20"/>
          <w:szCs w:val="20"/>
        </w:rPr>
        <w:t>т</w:t>
      </w:r>
      <w:r w:rsidRPr="00EC4F05">
        <w:rPr>
          <w:sz w:val="20"/>
          <w:szCs w:val="20"/>
        </w:rPr>
        <w:t>ки их валовым способом. Наиболее мощный слой 4, отстоящий от остальных на значительный по мощности инте</w:t>
      </w:r>
      <w:r w:rsidRPr="00EC4F05">
        <w:rPr>
          <w:sz w:val="20"/>
          <w:szCs w:val="20"/>
        </w:rPr>
        <w:t>р</w:t>
      </w:r>
      <w:r w:rsidRPr="00EC4F05">
        <w:rPr>
          <w:sz w:val="20"/>
          <w:szCs w:val="20"/>
        </w:rPr>
        <w:t>вал каменной соли, отрабатывается селективным мет</w:t>
      </w:r>
      <w:r w:rsidRPr="00EC4F05">
        <w:rPr>
          <w:sz w:val="20"/>
          <w:szCs w:val="20"/>
        </w:rPr>
        <w:t>о</w:t>
      </w:r>
      <w:r w:rsidRPr="00EC4F05">
        <w:rPr>
          <w:sz w:val="20"/>
          <w:szCs w:val="20"/>
        </w:rPr>
        <w:t>дом.</w:t>
      </w:r>
    </w:p>
    <w:p w:rsidR="00391A1C" w:rsidRPr="00EC4F05" w:rsidRDefault="00391A1C" w:rsidP="00391A1C">
      <w:pPr>
        <w:ind w:firstLine="340"/>
        <w:contextualSpacing/>
        <w:jc w:val="both"/>
        <w:rPr>
          <w:sz w:val="20"/>
          <w:szCs w:val="20"/>
        </w:rPr>
      </w:pPr>
      <w:r w:rsidRPr="00EC4F05">
        <w:rPr>
          <w:sz w:val="20"/>
          <w:szCs w:val="20"/>
        </w:rPr>
        <w:t>На Нежинском участке мощность слоя</w:t>
      </w:r>
      <w:r w:rsidRPr="00EC4F05">
        <w:rPr>
          <w:sz w:val="20"/>
          <w:szCs w:val="20"/>
          <w:lang w:val="en-US"/>
        </w:rPr>
        <w:t> </w:t>
      </w:r>
      <w:r w:rsidRPr="00EC4F05">
        <w:rPr>
          <w:sz w:val="20"/>
          <w:szCs w:val="20"/>
        </w:rPr>
        <w:t>2 близкая (0,54</w:t>
      </w:r>
      <w:r w:rsidRPr="00EC4F05">
        <w:rPr>
          <w:bCs/>
          <w:sz w:val="20"/>
          <w:szCs w:val="22"/>
        </w:rPr>
        <w:t>―</w:t>
      </w:r>
      <w:r w:rsidRPr="00EC4F05">
        <w:rPr>
          <w:sz w:val="20"/>
          <w:szCs w:val="20"/>
        </w:rPr>
        <w:t>0,77</w:t>
      </w:r>
      <w:r w:rsidRPr="00EC4F05"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см), но в нё</w:t>
      </w:r>
      <w:r w:rsidRPr="00EC4F05">
        <w:rPr>
          <w:sz w:val="20"/>
          <w:szCs w:val="20"/>
        </w:rPr>
        <w:t>м меньше галопелитового материала. Мощность галопелитовых прослоев не превышает 2</w:t>
      </w:r>
      <w:r w:rsidRPr="00EC4F05">
        <w:rPr>
          <w:bCs/>
          <w:sz w:val="20"/>
          <w:szCs w:val="22"/>
        </w:rPr>
        <w:t>―</w:t>
      </w:r>
      <w:r w:rsidRPr="00EC4F05">
        <w:rPr>
          <w:sz w:val="20"/>
          <w:szCs w:val="20"/>
        </w:rPr>
        <w:t>5</w:t>
      </w:r>
      <w:r w:rsidRPr="00EC4F05">
        <w:rPr>
          <w:sz w:val="20"/>
          <w:szCs w:val="20"/>
          <w:lang w:val="en-US"/>
        </w:rPr>
        <w:t> </w:t>
      </w:r>
      <w:r w:rsidRPr="00EC4F05">
        <w:rPr>
          <w:sz w:val="20"/>
          <w:szCs w:val="20"/>
        </w:rPr>
        <w:t>см. Суммарная их мощность составляет 3</w:t>
      </w:r>
      <w:r w:rsidRPr="00EC4F05">
        <w:rPr>
          <w:bCs/>
          <w:sz w:val="20"/>
          <w:szCs w:val="22"/>
        </w:rPr>
        <w:t>―</w:t>
      </w:r>
      <w:r w:rsidRPr="00EC4F05">
        <w:rPr>
          <w:sz w:val="20"/>
          <w:szCs w:val="20"/>
        </w:rPr>
        <w:t>4</w:t>
      </w:r>
      <w:r w:rsidRPr="00EC4F05">
        <w:rPr>
          <w:sz w:val="20"/>
          <w:szCs w:val="20"/>
          <w:lang w:val="en-US"/>
        </w:rPr>
        <w:t> </w:t>
      </w:r>
      <w:r w:rsidRPr="00EC4F05">
        <w:rPr>
          <w:sz w:val="20"/>
          <w:szCs w:val="20"/>
        </w:rPr>
        <w:t>см на юге и 10</w:t>
      </w:r>
      <w:r w:rsidRPr="00EC4F05">
        <w:rPr>
          <w:bCs/>
          <w:sz w:val="20"/>
          <w:szCs w:val="22"/>
        </w:rPr>
        <w:t>―</w:t>
      </w:r>
      <w:r w:rsidRPr="00EC4F05">
        <w:rPr>
          <w:sz w:val="20"/>
          <w:szCs w:val="20"/>
        </w:rPr>
        <w:t>12</w:t>
      </w:r>
      <w:r w:rsidRPr="00EC4F05">
        <w:rPr>
          <w:sz w:val="20"/>
          <w:szCs w:val="20"/>
          <w:lang w:val="en-US"/>
        </w:rPr>
        <w:t> </w:t>
      </w:r>
      <w:r w:rsidRPr="00EC4F05">
        <w:rPr>
          <w:sz w:val="20"/>
          <w:szCs w:val="20"/>
        </w:rPr>
        <w:t>см на севере участка, т. е. вдвое меньше, чем на Смоловском участке.</w:t>
      </w:r>
    </w:p>
    <w:p w:rsidR="00391A1C" w:rsidRPr="00EC4F05" w:rsidRDefault="00391A1C" w:rsidP="00391A1C">
      <w:pPr>
        <w:ind w:firstLine="340"/>
        <w:contextualSpacing/>
        <w:jc w:val="both"/>
        <w:rPr>
          <w:sz w:val="20"/>
          <w:szCs w:val="20"/>
        </w:rPr>
      </w:pPr>
      <w:r w:rsidRPr="00EC4F05">
        <w:rPr>
          <w:sz w:val="20"/>
          <w:szCs w:val="20"/>
        </w:rPr>
        <w:t>В качестве общей закономерности можно отметить, что в нижнем сильвинитовом пласте мощности галопел</w:t>
      </w:r>
      <w:r w:rsidRPr="00EC4F05">
        <w:rPr>
          <w:sz w:val="20"/>
          <w:szCs w:val="20"/>
        </w:rPr>
        <w:t>и</w:t>
      </w:r>
      <w:r w:rsidRPr="00EC4F05">
        <w:rPr>
          <w:sz w:val="20"/>
          <w:szCs w:val="20"/>
        </w:rPr>
        <w:t>товых прослоев и в целом количество несоляных примесей возрастает вверх по разрезу, а по площади с юга на с</w:t>
      </w:r>
      <w:r w:rsidRPr="00EC4F05">
        <w:rPr>
          <w:sz w:val="20"/>
          <w:szCs w:val="20"/>
        </w:rPr>
        <w:t>е</w:t>
      </w:r>
      <w:r>
        <w:rPr>
          <w:sz w:val="20"/>
          <w:szCs w:val="20"/>
        </w:rPr>
        <w:t>вер. Как мощность слоё</w:t>
      </w:r>
      <w:r w:rsidRPr="00EC4F05">
        <w:rPr>
          <w:sz w:val="20"/>
          <w:szCs w:val="20"/>
        </w:rPr>
        <w:t>в, так и суммарная мощность сильвинитов закономерно возрастают с з</w:t>
      </w:r>
      <w:r w:rsidRPr="00EC4F05">
        <w:rPr>
          <w:sz w:val="20"/>
          <w:szCs w:val="20"/>
        </w:rPr>
        <w:t>а</w:t>
      </w:r>
      <w:r w:rsidRPr="00EC4F05">
        <w:rPr>
          <w:sz w:val="20"/>
          <w:szCs w:val="20"/>
        </w:rPr>
        <w:t>пада на восток.</w:t>
      </w:r>
    </w:p>
    <w:p w:rsidR="00391A1C" w:rsidRPr="00EC4F05" w:rsidRDefault="00391A1C" w:rsidP="00391A1C">
      <w:pPr>
        <w:ind w:firstLine="340"/>
        <w:contextualSpacing/>
        <w:jc w:val="both"/>
        <w:rPr>
          <w:sz w:val="20"/>
          <w:szCs w:val="20"/>
        </w:rPr>
      </w:pPr>
      <w:r w:rsidRPr="00EC4F05">
        <w:rPr>
          <w:sz w:val="20"/>
          <w:szCs w:val="20"/>
        </w:rPr>
        <w:t>Сопоставление гранулометрического спектра сильвинитов нижнего сильвинитового пласта III калийного гор</w:t>
      </w:r>
      <w:r w:rsidRPr="00EC4F05">
        <w:rPr>
          <w:sz w:val="20"/>
          <w:szCs w:val="20"/>
        </w:rPr>
        <w:t>и</w:t>
      </w:r>
      <w:r w:rsidRPr="00EC4F05">
        <w:rPr>
          <w:sz w:val="20"/>
          <w:szCs w:val="20"/>
        </w:rPr>
        <w:t>зонта на Смоловском участке с имеющимися аналогичными данными по шахтным полям Старобинского местор</w:t>
      </w:r>
      <w:r w:rsidRPr="00EC4F05">
        <w:rPr>
          <w:sz w:val="20"/>
          <w:szCs w:val="20"/>
        </w:rPr>
        <w:t>о</w:t>
      </w:r>
      <w:r w:rsidRPr="00EC4F05">
        <w:rPr>
          <w:sz w:val="20"/>
          <w:szCs w:val="20"/>
        </w:rPr>
        <w:t xml:space="preserve">ждения показало, что содержание фракций менее </w:t>
      </w:r>
      <w:smartTag w:uri="urn:schemas-microsoft-com:office:smarttags" w:element="metricconverter">
        <w:smartTagPr>
          <w:attr w:name="ProductID" w:val="1 мм"/>
        </w:smartTagPr>
        <w:r w:rsidRPr="00EC4F05">
          <w:rPr>
            <w:sz w:val="20"/>
            <w:szCs w:val="20"/>
          </w:rPr>
          <w:t>1</w:t>
        </w:r>
        <w:r w:rsidRPr="00EC4F05">
          <w:rPr>
            <w:sz w:val="20"/>
            <w:szCs w:val="20"/>
            <w:lang w:val="en-US"/>
          </w:rPr>
          <w:t> </w:t>
        </w:r>
        <w:r w:rsidRPr="00EC4F05">
          <w:rPr>
            <w:sz w:val="20"/>
            <w:szCs w:val="20"/>
          </w:rPr>
          <w:t>мм</w:t>
        </w:r>
      </w:smartTag>
      <w:r w:rsidRPr="00EC4F05">
        <w:rPr>
          <w:sz w:val="20"/>
          <w:szCs w:val="20"/>
        </w:rPr>
        <w:t>, 1</w:t>
      </w:r>
      <w:r w:rsidRPr="00EC4F05">
        <w:rPr>
          <w:bCs/>
          <w:sz w:val="20"/>
          <w:szCs w:val="22"/>
        </w:rPr>
        <w:t>―</w:t>
      </w:r>
      <w:r w:rsidRPr="00EC4F05">
        <w:rPr>
          <w:sz w:val="20"/>
          <w:szCs w:val="20"/>
        </w:rPr>
        <w:t>3</w:t>
      </w:r>
      <w:r w:rsidRPr="00EC4F05">
        <w:rPr>
          <w:sz w:val="20"/>
          <w:szCs w:val="20"/>
          <w:lang w:val="en-US"/>
        </w:rPr>
        <w:t> </w:t>
      </w:r>
      <w:r w:rsidRPr="00EC4F05">
        <w:rPr>
          <w:sz w:val="20"/>
          <w:szCs w:val="20"/>
        </w:rPr>
        <w:t xml:space="preserve">мм и более </w:t>
      </w:r>
      <w:smartTag w:uri="urn:schemas-microsoft-com:office:smarttags" w:element="metricconverter">
        <w:smartTagPr>
          <w:attr w:name="ProductID" w:val="3 мм"/>
        </w:smartTagPr>
        <w:r w:rsidRPr="00EC4F05">
          <w:rPr>
            <w:sz w:val="20"/>
            <w:szCs w:val="20"/>
          </w:rPr>
          <w:t>3</w:t>
        </w:r>
        <w:r w:rsidRPr="00EC4F05">
          <w:rPr>
            <w:sz w:val="20"/>
            <w:szCs w:val="20"/>
            <w:lang w:val="en-US"/>
          </w:rPr>
          <w:t> </w:t>
        </w:r>
        <w:r w:rsidRPr="00EC4F05">
          <w:rPr>
            <w:sz w:val="20"/>
            <w:szCs w:val="20"/>
          </w:rPr>
          <w:t>мм</w:t>
        </w:r>
      </w:smartTag>
      <w:r w:rsidRPr="00EC4F05">
        <w:rPr>
          <w:sz w:val="20"/>
          <w:szCs w:val="20"/>
        </w:rPr>
        <w:t xml:space="preserve"> испытывают колебания одного поря</w:t>
      </w:r>
      <w:r w:rsidRPr="00EC4F05">
        <w:rPr>
          <w:sz w:val="20"/>
          <w:szCs w:val="20"/>
        </w:rPr>
        <w:t>д</w:t>
      </w:r>
      <w:r w:rsidRPr="00EC4F05">
        <w:rPr>
          <w:sz w:val="20"/>
          <w:szCs w:val="20"/>
        </w:rPr>
        <w:t xml:space="preserve">ка (таблица). Наиболее устойчива фракция более </w:t>
      </w:r>
      <w:smartTag w:uri="urn:schemas-microsoft-com:office:smarttags" w:element="metricconverter">
        <w:smartTagPr>
          <w:attr w:name="ProductID" w:val="3 мм"/>
        </w:smartTagPr>
        <w:r w:rsidRPr="00EC4F05">
          <w:rPr>
            <w:sz w:val="20"/>
            <w:szCs w:val="20"/>
          </w:rPr>
          <w:t>3</w:t>
        </w:r>
        <w:r w:rsidRPr="00EC4F05">
          <w:rPr>
            <w:sz w:val="20"/>
            <w:szCs w:val="20"/>
            <w:lang w:val="en-US"/>
          </w:rPr>
          <w:t> </w:t>
        </w:r>
        <w:r w:rsidRPr="00EC4F05">
          <w:rPr>
            <w:sz w:val="20"/>
            <w:szCs w:val="20"/>
          </w:rPr>
          <w:t>мм</w:t>
        </w:r>
      </w:smartTag>
      <w:r w:rsidRPr="00EC4F05">
        <w:rPr>
          <w:sz w:val="20"/>
          <w:szCs w:val="20"/>
        </w:rPr>
        <w:t>. Увеличение е</w:t>
      </w:r>
      <w:r>
        <w:rPr>
          <w:sz w:val="20"/>
          <w:szCs w:val="20"/>
        </w:rPr>
        <w:t>ё</w:t>
      </w:r>
      <w:r w:rsidRPr="00EC4F05">
        <w:rPr>
          <w:sz w:val="20"/>
          <w:szCs w:val="20"/>
        </w:rPr>
        <w:t xml:space="preserve"> доли в слое 4 на Смоловском участке объя</w:t>
      </w:r>
      <w:r w:rsidRPr="00EC4F05">
        <w:rPr>
          <w:sz w:val="20"/>
          <w:szCs w:val="20"/>
        </w:rPr>
        <w:t>с</w:t>
      </w:r>
      <w:r w:rsidRPr="00EC4F05">
        <w:rPr>
          <w:sz w:val="20"/>
          <w:szCs w:val="20"/>
        </w:rPr>
        <w:t>няется возрастанием роли вторичных структур («очковые сильвиниты»), с которыми связаны процессы осве</w:t>
      </w:r>
      <w:r w:rsidRPr="00EC4F05">
        <w:rPr>
          <w:sz w:val="20"/>
          <w:szCs w:val="20"/>
        </w:rPr>
        <w:t>т</w:t>
      </w:r>
      <w:r w:rsidRPr="00EC4F05">
        <w:rPr>
          <w:sz w:val="20"/>
          <w:szCs w:val="20"/>
        </w:rPr>
        <w:t>ления и укрупнения зерен сильвина. Безусловно, при проведении на Смоловском участке детальной разведки нео</w:t>
      </w:r>
      <w:r w:rsidRPr="00EC4F05">
        <w:rPr>
          <w:sz w:val="20"/>
          <w:szCs w:val="20"/>
        </w:rPr>
        <w:t>б</w:t>
      </w:r>
      <w:r w:rsidRPr="00EC4F05">
        <w:rPr>
          <w:sz w:val="20"/>
          <w:szCs w:val="20"/>
        </w:rPr>
        <w:t>ходимо учитывать взаимосвязь различий структурно-текстурных и других особенностей состава с характером тектонич</w:t>
      </w:r>
      <w:r w:rsidRPr="00EC4F05">
        <w:rPr>
          <w:sz w:val="20"/>
          <w:szCs w:val="20"/>
        </w:rPr>
        <w:t>е</w:t>
      </w:r>
      <w:r w:rsidRPr="00EC4F05">
        <w:rPr>
          <w:sz w:val="20"/>
          <w:szCs w:val="20"/>
        </w:rPr>
        <w:t>ских проявлений, которые в значительной степени предопределяют закономерности пространственной изменчив</w:t>
      </w:r>
      <w:r w:rsidRPr="00EC4F05">
        <w:rPr>
          <w:sz w:val="20"/>
          <w:szCs w:val="20"/>
        </w:rPr>
        <w:t>о</w:t>
      </w:r>
      <w:r w:rsidRPr="00EC4F05">
        <w:rPr>
          <w:sz w:val="20"/>
          <w:szCs w:val="20"/>
        </w:rPr>
        <w:t>сти, а, следовательно, и закономерности изменения структур и текстур сильвинитов, от которых зависят технолог</w:t>
      </w:r>
      <w:r w:rsidRPr="00EC4F05">
        <w:rPr>
          <w:sz w:val="20"/>
          <w:szCs w:val="20"/>
        </w:rPr>
        <w:t>и</w:t>
      </w:r>
      <w:r w:rsidRPr="00EC4F05">
        <w:rPr>
          <w:sz w:val="20"/>
          <w:szCs w:val="20"/>
        </w:rPr>
        <w:t>ческие показатели обогащения.</w:t>
      </w:r>
    </w:p>
    <w:p w:rsidR="00391A1C" w:rsidRPr="00EC4F05" w:rsidRDefault="00391A1C" w:rsidP="00391A1C">
      <w:pPr>
        <w:contextualSpacing/>
        <w:jc w:val="both"/>
        <w:rPr>
          <w:sz w:val="20"/>
          <w:szCs w:val="20"/>
        </w:rPr>
      </w:pPr>
    </w:p>
    <w:p w:rsidR="00391A1C" w:rsidRPr="00EC4F05" w:rsidRDefault="00391A1C" w:rsidP="00391A1C">
      <w:pPr>
        <w:contextualSpacing/>
        <w:jc w:val="both"/>
        <w:outlineLvl w:val="0"/>
        <w:rPr>
          <w:b/>
          <w:sz w:val="18"/>
          <w:szCs w:val="18"/>
        </w:rPr>
      </w:pPr>
      <w:r w:rsidRPr="00EC4F05">
        <w:rPr>
          <w:sz w:val="18"/>
          <w:szCs w:val="18"/>
        </w:rPr>
        <w:t>Таблица </w:t>
      </w:r>
      <w:r w:rsidRPr="00EC4F05">
        <w:rPr>
          <w:color w:val="000000"/>
          <w:sz w:val="18"/>
          <w:szCs w:val="18"/>
        </w:rPr>
        <w:t>―</w:t>
      </w:r>
      <w:r w:rsidRPr="00EC4F05">
        <w:rPr>
          <w:sz w:val="18"/>
          <w:szCs w:val="18"/>
        </w:rPr>
        <w:t> </w:t>
      </w:r>
      <w:r w:rsidRPr="00EC4F05">
        <w:rPr>
          <w:b/>
          <w:sz w:val="18"/>
          <w:szCs w:val="18"/>
        </w:rPr>
        <w:t xml:space="preserve">Содержание гранулометрических фракций в сильвинитах III калийного горизонта </w:t>
      </w:r>
    </w:p>
    <w:p w:rsidR="00391A1C" w:rsidRPr="00EC4F05" w:rsidRDefault="00391A1C" w:rsidP="00391A1C">
      <w:pPr>
        <w:ind w:firstLine="936"/>
        <w:contextualSpacing/>
        <w:jc w:val="both"/>
        <w:outlineLvl w:val="0"/>
        <w:rPr>
          <w:sz w:val="18"/>
          <w:szCs w:val="20"/>
        </w:rPr>
      </w:pPr>
      <w:r w:rsidRPr="00EC4F05">
        <w:rPr>
          <w:b/>
          <w:sz w:val="18"/>
          <w:szCs w:val="18"/>
        </w:rPr>
        <w:t>на разных участках Старобинск</w:t>
      </w:r>
      <w:r w:rsidRPr="00EC4F05">
        <w:rPr>
          <w:b/>
          <w:sz w:val="18"/>
          <w:szCs w:val="18"/>
        </w:rPr>
        <w:t>о</w:t>
      </w:r>
      <w:r w:rsidRPr="00EC4F05">
        <w:rPr>
          <w:b/>
          <w:sz w:val="18"/>
          <w:szCs w:val="20"/>
        </w:rPr>
        <w:t>го месторождения</w:t>
      </w:r>
    </w:p>
    <w:p w:rsidR="00391A1C" w:rsidRPr="00EC4F05" w:rsidRDefault="00391A1C" w:rsidP="00391A1C">
      <w:pPr>
        <w:contextualSpacing/>
        <w:jc w:val="both"/>
        <w:rPr>
          <w:sz w:val="16"/>
          <w:szCs w:val="16"/>
          <w:highlight w:val="yellow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24"/>
        <w:gridCol w:w="1550"/>
        <w:gridCol w:w="1425"/>
        <w:gridCol w:w="1427"/>
        <w:gridCol w:w="1425"/>
      </w:tblGrid>
      <w:tr w:rsidR="00391A1C" w:rsidRPr="00CB75EC" w:rsidTr="00DB6818">
        <w:tc>
          <w:tcPr>
            <w:tcW w:w="1884" w:type="pct"/>
            <w:vMerge w:val="restart"/>
            <w:vAlign w:val="center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Участок</w:t>
            </w:r>
          </w:p>
        </w:tc>
        <w:tc>
          <w:tcPr>
            <w:tcW w:w="829" w:type="pct"/>
            <w:vMerge w:val="restart"/>
            <w:vAlign w:val="center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Слой</w:t>
            </w:r>
          </w:p>
        </w:tc>
        <w:tc>
          <w:tcPr>
            <w:tcW w:w="2287" w:type="pct"/>
            <w:gridSpan w:val="3"/>
            <w:vAlign w:val="center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Содержание фракций,</w:t>
            </w:r>
            <w:r w:rsidRPr="00CB75EC">
              <w:rPr>
                <w:color w:val="000000"/>
                <w:sz w:val="18"/>
                <w:szCs w:val="18"/>
                <w:lang w:val="en-US"/>
              </w:rPr>
              <w:t> </w:t>
            </w:r>
            <w:r w:rsidRPr="00CB75EC">
              <w:rPr>
                <w:color w:val="000000"/>
                <w:sz w:val="18"/>
                <w:szCs w:val="18"/>
              </w:rPr>
              <w:t>%</w:t>
            </w:r>
          </w:p>
        </w:tc>
      </w:tr>
      <w:tr w:rsidR="00391A1C" w:rsidRPr="00CB75EC" w:rsidTr="00DB6818">
        <w:tc>
          <w:tcPr>
            <w:tcW w:w="1884" w:type="pct"/>
            <w:vMerge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ind w:firstLine="340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29" w:type="pct"/>
            <w:vMerge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ind w:firstLine="340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2" w:type="pct"/>
            <w:vAlign w:val="center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 xml:space="preserve">менее </w:t>
            </w:r>
            <w:smartTag w:uri="urn:schemas-microsoft-com:office:smarttags" w:element="metricconverter">
              <w:smartTagPr>
                <w:attr w:name="ProductID" w:val="1 мм"/>
              </w:smartTagPr>
              <w:r w:rsidRPr="00CB75EC">
                <w:rPr>
                  <w:color w:val="000000"/>
                  <w:sz w:val="18"/>
                  <w:szCs w:val="18"/>
                </w:rPr>
                <w:t>1</w:t>
              </w:r>
              <w:r w:rsidRPr="00CB75EC">
                <w:rPr>
                  <w:color w:val="000000"/>
                  <w:sz w:val="18"/>
                  <w:szCs w:val="18"/>
                  <w:lang w:val="en-US"/>
                </w:rPr>
                <w:t> </w:t>
              </w:r>
              <w:r w:rsidRPr="00CB75EC">
                <w:rPr>
                  <w:color w:val="000000"/>
                  <w:sz w:val="18"/>
                  <w:szCs w:val="18"/>
                </w:rPr>
                <w:t>мм</w:t>
              </w:r>
            </w:smartTag>
          </w:p>
        </w:tc>
        <w:tc>
          <w:tcPr>
            <w:tcW w:w="763" w:type="pct"/>
            <w:vAlign w:val="center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1</w:t>
            </w:r>
            <w:r w:rsidRPr="00CB75EC">
              <w:rPr>
                <w:bCs/>
                <w:sz w:val="20"/>
                <w:szCs w:val="22"/>
              </w:rPr>
              <w:t>―</w:t>
            </w:r>
            <w:r w:rsidRPr="00CB75EC">
              <w:rPr>
                <w:color w:val="000000"/>
                <w:sz w:val="18"/>
                <w:szCs w:val="18"/>
              </w:rPr>
              <w:t>3</w:t>
            </w:r>
            <w:r w:rsidRPr="00CB75EC">
              <w:rPr>
                <w:color w:val="000000"/>
                <w:sz w:val="18"/>
                <w:szCs w:val="18"/>
                <w:lang w:val="en-US"/>
              </w:rPr>
              <w:t> </w:t>
            </w:r>
            <w:r w:rsidRPr="00CB75EC">
              <w:rPr>
                <w:color w:val="000000"/>
                <w:sz w:val="18"/>
                <w:szCs w:val="18"/>
              </w:rPr>
              <w:t>мм</w:t>
            </w:r>
          </w:p>
        </w:tc>
        <w:tc>
          <w:tcPr>
            <w:tcW w:w="762" w:type="pct"/>
            <w:vAlign w:val="center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 xml:space="preserve">более </w:t>
            </w:r>
            <w:smartTag w:uri="urn:schemas-microsoft-com:office:smarttags" w:element="metricconverter">
              <w:smartTagPr>
                <w:attr w:name="ProductID" w:val="3 мм"/>
              </w:smartTagPr>
              <w:r w:rsidRPr="00CB75EC">
                <w:rPr>
                  <w:color w:val="000000"/>
                  <w:sz w:val="18"/>
                  <w:szCs w:val="18"/>
                </w:rPr>
                <w:t>3</w:t>
              </w:r>
              <w:r w:rsidRPr="00CB75EC">
                <w:rPr>
                  <w:color w:val="000000"/>
                  <w:sz w:val="18"/>
                  <w:szCs w:val="18"/>
                  <w:lang w:val="en-US"/>
                </w:rPr>
                <w:t> </w:t>
              </w:r>
              <w:r w:rsidRPr="00CB75EC">
                <w:rPr>
                  <w:color w:val="000000"/>
                  <w:sz w:val="18"/>
                  <w:szCs w:val="18"/>
                </w:rPr>
                <w:t>мм</w:t>
              </w:r>
            </w:smartTag>
          </w:p>
        </w:tc>
      </w:tr>
      <w:tr w:rsidR="00391A1C" w:rsidRPr="00CB75EC" w:rsidTr="00DB6818">
        <w:tc>
          <w:tcPr>
            <w:tcW w:w="1884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ind w:firstLine="680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Шахтное поле 5 РУ</w:t>
            </w:r>
          </w:p>
        </w:tc>
        <w:tc>
          <w:tcPr>
            <w:tcW w:w="829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62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763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62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16</w:t>
            </w:r>
          </w:p>
        </w:tc>
      </w:tr>
      <w:tr w:rsidR="00391A1C" w:rsidRPr="00CB75EC" w:rsidTr="00DB6818">
        <w:tc>
          <w:tcPr>
            <w:tcW w:w="1884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ind w:firstLine="680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Шахтное поле 2 РУ</w:t>
            </w:r>
          </w:p>
        </w:tc>
        <w:tc>
          <w:tcPr>
            <w:tcW w:w="829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62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63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762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18</w:t>
            </w:r>
          </w:p>
        </w:tc>
      </w:tr>
      <w:tr w:rsidR="00391A1C" w:rsidRPr="00CB75EC" w:rsidTr="00DB6818">
        <w:tc>
          <w:tcPr>
            <w:tcW w:w="1884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ind w:firstLine="680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lastRenderedPageBreak/>
              <w:t xml:space="preserve">Нежинский </w:t>
            </w:r>
          </w:p>
        </w:tc>
        <w:tc>
          <w:tcPr>
            <w:tcW w:w="829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62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63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62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23</w:t>
            </w:r>
          </w:p>
        </w:tc>
      </w:tr>
      <w:tr w:rsidR="00391A1C" w:rsidRPr="00CB75EC" w:rsidTr="00DB6818">
        <w:tc>
          <w:tcPr>
            <w:tcW w:w="1884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ind w:firstLine="680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Смоловский, скв.</w:t>
            </w:r>
            <w:r w:rsidRPr="00CB75EC">
              <w:rPr>
                <w:color w:val="000000"/>
                <w:sz w:val="18"/>
                <w:szCs w:val="18"/>
                <w:lang w:val="en-US"/>
              </w:rPr>
              <w:t> </w:t>
            </w:r>
            <w:r w:rsidRPr="00CB75EC">
              <w:rPr>
                <w:color w:val="000000"/>
                <w:sz w:val="18"/>
                <w:szCs w:val="18"/>
              </w:rPr>
              <w:t>848, 850</w:t>
            </w:r>
          </w:p>
        </w:tc>
        <w:tc>
          <w:tcPr>
            <w:tcW w:w="829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62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63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62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35</w:t>
            </w:r>
          </w:p>
        </w:tc>
      </w:tr>
      <w:tr w:rsidR="00391A1C" w:rsidRPr="00CB75EC" w:rsidTr="00DB6818">
        <w:tc>
          <w:tcPr>
            <w:tcW w:w="1884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ind w:firstLine="680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Шахтное поле 5 РУ</w:t>
            </w:r>
          </w:p>
        </w:tc>
        <w:tc>
          <w:tcPr>
            <w:tcW w:w="829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62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63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762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17</w:t>
            </w:r>
          </w:p>
        </w:tc>
      </w:tr>
      <w:tr w:rsidR="00391A1C" w:rsidRPr="00CB75EC" w:rsidTr="00DB6818">
        <w:tc>
          <w:tcPr>
            <w:tcW w:w="1884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ind w:firstLine="680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Шахтное поле 2 РУ</w:t>
            </w:r>
          </w:p>
        </w:tc>
        <w:tc>
          <w:tcPr>
            <w:tcW w:w="829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62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63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762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12</w:t>
            </w:r>
          </w:p>
        </w:tc>
      </w:tr>
      <w:tr w:rsidR="00391A1C" w:rsidRPr="00CB75EC" w:rsidTr="00DB6818">
        <w:tc>
          <w:tcPr>
            <w:tcW w:w="1884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ind w:firstLine="680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 xml:space="preserve">Нежинский </w:t>
            </w:r>
          </w:p>
        </w:tc>
        <w:tc>
          <w:tcPr>
            <w:tcW w:w="829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62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763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62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13</w:t>
            </w:r>
          </w:p>
        </w:tc>
      </w:tr>
      <w:tr w:rsidR="00391A1C" w:rsidRPr="00CB75EC" w:rsidTr="00DB6818">
        <w:tc>
          <w:tcPr>
            <w:tcW w:w="1884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ind w:firstLine="680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Смоловский, скв. 848, 850</w:t>
            </w:r>
          </w:p>
        </w:tc>
        <w:tc>
          <w:tcPr>
            <w:tcW w:w="829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62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763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62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14</w:t>
            </w:r>
          </w:p>
        </w:tc>
      </w:tr>
      <w:tr w:rsidR="00391A1C" w:rsidRPr="00CB75EC" w:rsidTr="00DB6818">
        <w:tc>
          <w:tcPr>
            <w:tcW w:w="1884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ind w:firstLine="680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Шахтное поле 5 РУ</w:t>
            </w:r>
          </w:p>
        </w:tc>
        <w:tc>
          <w:tcPr>
            <w:tcW w:w="829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62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763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762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10</w:t>
            </w:r>
          </w:p>
        </w:tc>
      </w:tr>
      <w:tr w:rsidR="00391A1C" w:rsidRPr="00CB75EC" w:rsidTr="00DB6818">
        <w:tc>
          <w:tcPr>
            <w:tcW w:w="1884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ind w:firstLine="680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Шахтное поле 2 РУ</w:t>
            </w:r>
          </w:p>
        </w:tc>
        <w:tc>
          <w:tcPr>
            <w:tcW w:w="829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62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763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762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16</w:t>
            </w:r>
          </w:p>
        </w:tc>
      </w:tr>
      <w:tr w:rsidR="00391A1C" w:rsidRPr="00CB75EC" w:rsidTr="00DB6818">
        <w:tc>
          <w:tcPr>
            <w:tcW w:w="1884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ind w:firstLine="680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 xml:space="preserve">Нежинский </w:t>
            </w:r>
          </w:p>
        </w:tc>
        <w:tc>
          <w:tcPr>
            <w:tcW w:w="829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62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63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62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15</w:t>
            </w:r>
          </w:p>
        </w:tc>
      </w:tr>
      <w:tr w:rsidR="00391A1C" w:rsidRPr="00CB75EC" w:rsidTr="00DB6818">
        <w:tc>
          <w:tcPr>
            <w:tcW w:w="1884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ind w:firstLine="680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Смоловский, скв. 848, 850</w:t>
            </w:r>
          </w:p>
        </w:tc>
        <w:tc>
          <w:tcPr>
            <w:tcW w:w="829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62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63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62" w:type="pct"/>
          </w:tcPr>
          <w:p w:rsidR="00391A1C" w:rsidRPr="00CB75EC" w:rsidRDefault="00391A1C" w:rsidP="00DB68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75EC">
              <w:rPr>
                <w:color w:val="000000"/>
                <w:sz w:val="18"/>
                <w:szCs w:val="18"/>
              </w:rPr>
              <w:t>16</w:t>
            </w:r>
          </w:p>
        </w:tc>
      </w:tr>
    </w:tbl>
    <w:p w:rsidR="00391A1C" w:rsidRDefault="00391A1C" w:rsidP="00391A1C">
      <w:pPr>
        <w:contextualSpacing/>
        <w:jc w:val="both"/>
        <w:rPr>
          <w:sz w:val="20"/>
          <w:szCs w:val="20"/>
          <w:lang w:val="be-BY"/>
        </w:rPr>
      </w:pPr>
    </w:p>
    <w:p w:rsidR="00391A1C" w:rsidRPr="00EC4F05" w:rsidRDefault="00391A1C" w:rsidP="00391A1C">
      <w:pPr>
        <w:ind w:firstLine="340"/>
        <w:contextualSpacing/>
        <w:jc w:val="both"/>
        <w:rPr>
          <w:sz w:val="20"/>
          <w:szCs w:val="20"/>
        </w:rPr>
      </w:pPr>
      <w:r w:rsidRPr="00EC4F05">
        <w:rPr>
          <w:sz w:val="20"/>
          <w:szCs w:val="20"/>
        </w:rPr>
        <w:t>В разрезе I калийного горизонта на Смоловском участке выделяется до девят</w:t>
      </w:r>
      <w:r>
        <w:rPr>
          <w:sz w:val="20"/>
          <w:szCs w:val="20"/>
        </w:rPr>
        <w:t>и сильвинитовых слоё</w:t>
      </w:r>
      <w:r w:rsidRPr="00EC4F05">
        <w:rPr>
          <w:sz w:val="20"/>
          <w:szCs w:val="20"/>
        </w:rPr>
        <w:t>в (мощность 0,10</w:t>
      </w:r>
      <w:r w:rsidRPr="00EC4F05">
        <w:rPr>
          <w:bCs/>
          <w:sz w:val="20"/>
          <w:szCs w:val="22"/>
        </w:rPr>
        <w:t>―</w:t>
      </w:r>
      <w:r w:rsidRPr="00EC4F05">
        <w:rPr>
          <w:sz w:val="20"/>
          <w:szCs w:val="20"/>
        </w:rPr>
        <w:t>0,60</w:t>
      </w:r>
      <w:r w:rsidRPr="00EC4F05">
        <w:rPr>
          <w:sz w:val="20"/>
          <w:szCs w:val="20"/>
          <w:lang w:val="en-US"/>
        </w:rPr>
        <w:t> </w:t>
      </w:r>
      <w:r w:rsidRPr="00EC4F05">
        <w:rPr>
          <w:sz w:val="20"/>
          <w:szCs w:val="20"/>
        </w:rPr>
        <w:t>м). Из-за малой мощности ни один из них не может быть использован в качестве самостоятельного об</w:t>
      </w:r>
      <w:r w:rsidRPr="00EC4F05">
        <w:rPr>
          <w:sz w:val="20"/>
          <w:szCs w:val="20"/>
        </w:rPr>
        <w:t>ъ</w:t>
      </w:r>
      <w:r w:rsidRPr="00EC4F05">
        <w:rPr>
          <w:sz w:val="20"/>
          <w:szCs w:val="20"/>
        </w:rPr>
        <w:t>екта для промышленной отработки. В продуктивный пласт выделено с</w:t>
      </w:r>
      <w:r>
        <w:rPr>
          <w:sz w:val="20"/>
          <w:szCs w:val="20"/>
        </w:rPr>
        <w:t>очетание ряда сильвинитовых слоё</w:t>
      </w:r>
      <w:r w:rsidRPr="00EC4F05">
        <w:rPr>
          <w:sz w:val="20"/>
          <w:szCs w:val="20"/>
        </w:rPr>
        <w:t>в, расп</w:t>
      </w:r>
      <w:r w:rsidRPr="00EC4F05">
        <w:rPr>
          <w:sz w:val="20"/>
          <w:szCs w:val="20"/>
        </w:rPr>
        <w:t>о</w:t>
      </w:r>
      <w:r w:rsidRPr="00EC4F05">
        <w:rPr>
          <w:sz w:val="20"/>
          <w:szCs w:val="20"/>
        </w:rPr>
        <w:t>ложенных в ср</w:t>
      </w:r>
      <w:r>
        <w:rPr>
          <w:sz w:val="20"/>
          <w:szCs w:val="20"/>
        </w:rPr>
        <w:t>едней части разреза и раздел</w:t>
      </w:r>
      <w:r w:rsidRPr="0059004A">
        <w:rPr>
          <w:sz w:val="20"/>
          <w:szCs w:val="20"/>
        </w:rPr>
        <w:t>ё</w:t>
      </w:r>
      <w:r w:rsidRPr="00EC4F05">
        <w:rPr>
          <w:sz w:val="20"/>
          <w:szCs w:val="20"/>
        </w:rPr>
        <w:t xml:space="preserve">нных слоями каменной соли небольшой мощности (сильвинитовые слои 4, 5 и 6, реже 7). При сопоставлении строения </w:t>
      </w:r>
      <w:r w:rsidRPr="00EC4F05">
        <w:rPr>
          <w:sz w:val="20"/>
          <w:szCs w:val="20"/>
          <w:lang w:val="en-US"/>
        </w:rPr>
        <w:t>I</w:t>
      </w:r>
      <w:r w:rsidRPr="00EC4F05">
        <w:rPr>
          <w:sz w:val="20"/>
          <w:szCs w:val="20"/>
        </w:rPr>
        <w:t xml:space="preserve"> калийного горизонта на всей площади западной части Припя</w:t>
      </w:r>
      <w:r w:rsidRPr="00EC4F05">
        <w:rPr>
          <w:sz w:val="20"/>
          <w:szCs w:val="20"/>
        </w:rPr>
        <w:t>т</w:t>
      </w:r>
      <w:r w:rsidRPr="00EC4F05">
        <w:rPr>
          <w:sz w:val="20"/>
          <w:szCs w:val="20"/>
        </w:rPr>
        <w:t>ского калиеносного бассейна обнаруживается, что с запада на восток увеличивается мощность горизонта в ц</w:t>
      </w:r>
      <w:r>
        <w:rPr>
          <w:sz w:val="20"/>
          <w:szCs w:val="20"/>
        </w:rPr>
        <w:t>елом за счёт слоё</w:t>
      </w:r>
      <w:r w:rsidRPr="00EC4F05">
        <w:rPr>
          <w:sz w:val="20"/>
          <w:szCs w:val="20"/>
        </w:rPr>
        <w:t>в промежуточной каменной соли и галопелитов и достраивания (новые сильвинитовые слои) сверху. Сильв</w:t>
      </w:r>
      <w:r w:rsidRPr="00EC4F05">
        <w:rPr>
          <w:sz w:val="20"/>
          <w:szCs w:val="20"/>
        </w:rPr>
        <w:t>и</w:t>
      </w:r>
      <w:r w:rsidRPr="00EC4F05">
        <w:rPr>
          <w:sz w:val="20"/>
          <w:szCs w:val="20"/>
        </w:rPr>
        <w:t>нитовые слои при этом хорошо сохраняют свои мощности и строение. Так, на площади шахтных полей 1, 2 и 3 РУ разрез горизонта заканчивается слоем 5, восточнее (4 РУ) появляется слой 6, на Нежинском участке</w:t>
      </w:r>
      <w:r w:rsidRPr="00EC4F05">
        <w:rPr>
          <w:sz w:val="20"/>
          <w:szCs w:val="20"/>
          <w:lang w:val="en-US"/>
        </w:rPr>
        <w:t> </w:t>
      </w:r>
      <w:r w:rsidRPr="00EC4F05">
        <w:rPr>
          <w:bCs/>
          <w:sz w:val="20"/>
          <w:szCs w:val="22"/>
        </w:rPr>
        <w:t xml:space="preserve">― </w:t>
      </w:r>
      <w:r w:rsidRPr="00EC4F05">
        <w:rPr>
          <w:sz w:val="20"/>
          <w:szCs w:val="20"/>
        </w:rPr>
        <w:t>слой 7, а Смоловском</w:t>
      </w:r>
      <w:r w:rsidRPr="00EC4F05">
        <w:rPr>
          <w:sz w:val="20"/>
          <w:szCs w:val="20"/>
          <w:lang w:val="en-US"/>
        </w:rPr>
        <w:t> </w:t>
      </w:r>
      <w:r w:rsidRPr="00EC4F05">
        <w:rPr>
          <w:bCs/>
          <w:sz w:val="20"/>
          <w:szCs w:val="22"/>
        </w:rPr>
        <w:t>―</w:t>
      </w:r>
      <w:r w:rsidRPr="00EC4F05">
        <w:rPr>
          <w:bCs/>
          <w:sz w:val="20"/>
          <w:szCs w:val="22"/>
          <w:lang w:val="en-US"/>
        </w:rPr>
        <w:t> </w:t>
      </w:r>
      <w:r w:rsidRPr="00EC4F05">
        <w:rPr>
          <w:sz w:val="20"/>
          <w:szCs w:val="20"/>
        </w:rPr>
        <w:t xml:space="preserve">8 и даже 9 слои. </w:t>
      </w:r>
    </w:p>
    <w:p w:rsidR="00391A1C" w:rsidRPr="00EC4F05" w:rsidRDefault="00391A1C" w:rsidP="00391A1C">
      <w:pPr>
        <w:ind w:firstLine="3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При сравнении слоё</w:t>
      </w:r>
      <w:r w:rsidRPr="00EC4F05">
        <w:rPr>
          <w:sz w:val="20"/>
          <w:szCs w:val="20"/>
        </w:rPr>
        <w:t>в сильвинитов и каменной соли на Смоловском и Нежинском участках выявлены и близкие мощности, и близкие структурно-текстурные особенно</w:t>
      </w:r>
      <w:r>
        <w:rPr>
          <w:sz w:val="20"/>
          <w:szCs w:val="20"/>
        </w:rPr>
        <w:t>сти сильвинитов. Однако для слоё</w:t>
      </w:r>
      <w:r w:rsidRPr="00EC4F05">
        <w:rPr>
          <w:sz w:val="20"/>
          <w:szCs w:val="20"/>
        </w:rPr>
        <w:t>в каменной соли на Н</w:t>
      </w:r>
      <w:r w:rsidRPr="00EC4F05">
        <w:rPr>
          <w:sz w:val="20"/>
          <w:szCs w:val="20"/>
        </w:rPr>
        <w:t>е</w:t>
      </w:r>
      <w:r w:rsidRPr="00EC4F05">
        <w:rPr>
          <w:sz w:val="20"/>
          <w:szCs w:val="20"/>
        </w:rPr>
        <w:t>жинском участке характерно более высокое содержание нерастворимых примесей (возрастание суммарной мощн</w:t>
      </w:r>
      <w:r w:rsidRPr="00EC4F05">
        <w:rPr>
          <w:sz w:val="20"/>
          <w:szCs w:val="20"/>
        </w:rPr>
        <w:t>о</w:t>
      </w:r>
      <w:r w:rsidRPr="00EC4F05">
        <w:rPr>
          <w:sz w:val="20"/>
          <w:szCs w:val="20"/>
        </w:rPr>
        <w:t>сти галопелитовых прослоев).</w:t>
      </w:r>
    </w:p>
    <w:p w:rsidR="00391A1C" w:rsidRPr="005B23C5" w:rsidRDefault="00391A1C" w:rsidP="00391A1C">
      <w:pPr>
        <w:ind w:firstLine="340"/>
        <w:contextualSpacing/>
        <w:jc w:val="both"/>
        <w:rPr>
          <w:sz w:val="20"/>
          <w:szCs w:val="20"/>
        </w:rPr>
      </w:pPr>
      <w:r w:rsidRPr="005B23C5">
        <w:rPr>
          <w:sz w:val="20"/>
          <w:szCs w:val="20"/>
        </w:rPr>
        <w:t>В качестве характерной особенности следует отметить увеличение с запада на восток прослоев слабоокраше</w:t>
      </w:r>
      <w:r w:rsidRPr="005B23C5">
        <w:rPr>
          <w:sz w:val="20"/>
          <w:szCs w:val="20"/>
        </w:rPr>
        <w:t>н</w:t>
      </w:r>
      <w:r w:rsidRPr="005B23C5">
        <w:rPr>
          <w:sz w:val="20"/>
          <w:szCs w:val="20"/>
        </w:rPr>
        <w:t>ных и молочно-белых сильвинитов. А т</w:t>
      </w:r>
      <w:r>
        <w:rPr>
          <w:sz w:val="20"/>
          <w:szCs w:val="20"/>
        </w:rPr>
        <w:t>. </w:t>
      </w:r>
      <w:r w:rsidRPr="005B23C5">
        <w:rPr>
          <w:sz w:val="20"/>
          <w:szCs w:val="20"/>
        </w:rPr>
        <w:t>к</w:t>
      </w:r>
      <w:r>
        <w:rPr>
          <w:sz w:val="20"/>
          <w:szCs w:val="20"/>
        </w:rPr>
        <w:t>.</w:t>
      </w:r>
      <w:r w:rsidRPr="005B23C5">
        <w:rPr>
          <w:sz w:val="20"/>
          <w:szCs w:val="20"/>
        </w:rPr>
        <w:t xml:space="preserve"> структура и окраска тесно коррел</w:t>
      </w:r>
      <w:r>
        <w:rPr>
          <w:sz w:val="20"/>
          <w:szCs w:val="20"/>
        </w:rPr>
        <w:t>ируют, то там где преобладают тё</w:t>
      </w:r>
      <w:r w:rsidRPr="005B23C5">
        <w:rPr>
          <w:sz w:val="20"/>
          <w:szCs w:val="20"/>
        </w:rPr>
        <w:t>мн</w:t>
      </w:r>
      <w:r w:rsidRPr="005B23C5">
        <w:rPr>
          <w:sz w:val="20"/>
          <w:szCs w:val="20"/>
        </w:rPr>
        <w:t>о</w:t>
      </w:r>
      <w:r w:rsidRPr="005B23C5">
        <w:rPr>
          <w:sz w:val="20"/>
          <w:szCs w:val="20"/>
        </w:rPr>
        <w:t>окрашенные сильвиниты развиты в основном микро-мелкозернистые структуры, а где</w:t>
      </w:r>
      <w:r>
        <w:rPr>
          <w:sz w:val="20"/>
          <w:szCs w:val="20"/>
          <w:lang w:val="en-US"/>
        </w:rPr>
        <w:t> </w:t>
      </w:r>
      <w:r w:rsidRPr="00A36702">
        <w:rPr>
          <w:bCs/>
          <w:sz w:val="20"/>
          <w:szCs w:val="22"/>
        </w:rPr>
        <w:t>―</w:t>
      </w:r>
      <w:r>
        <w:rPr>
          <w:bCs/>
          <w:sz w:val="20"/>
          <w:szCs w:val="22"/>
        </w:rPr>
        <w:t> </w:t>
      </w:r>
      <w:r w:rsidRPr="005B23C5">
        <w:rPr>
          <w:sz w:val="20"/>
          <w:szCs w:val="20"/>
        </w:rPr>
        <w:t>светлоокраше</w:t>
      </w:r>
      <w:r w:rsidRPr="005B23C5">
        <w:rPr>
          <w:sz w:val="20"/>
          <w:szCs w:val="20"/>
        </w:rPr>
        <w:t>н</w:t>
      </w:r>
      <w:r w:rsidRPr="005B23C5">
        <w:rPr>
          <w:sz w:val="20"/>
          <w:szCs w:val="20"/>
        </w:rPr>
        <w:t>ные</w:t>
      </w:r>
      <w:r>
        <w:rPr>
          <w:sz w:val="20"/>
          <w:szCs w:val="20"/>
          <w:lang w:val="en-US"/>
        </w:rPr>
        <w:t> </w:t>
      </w:r>
      <w:r w:rsidRPr="00A36702">
        <w:rPr>
          <w:bCs/>
          <w:sz w:val="20"/>
          <w:szCs w:val="22"/>
        </w:rPr>
        <w:t>―</w:t>
      </w:r>
      <w:r>
        <w:rPr>
          <w:bCs/>
          <w:sz w:val="20"/>
          <w:szCs w:val="22"/>
        </w:rPr>
        <w:t xml:space="preserve"> </w:t>
      </w:r>
      <w:r w:rsidRPr="005B23C5">
        <w:rPr>
          <w:sz w:val="20"/>
          <w:szCs w:val="20"/>
        </w:rPr>
        <w:t>мелко- и среднезернистые.</w:t>
      </w:r>
    </w:p>
    <w:p w:rsidR="00391A1C" w:rsidRPr="005B23C5" w:rsidRDefault="00391A1C" w:rsidP="00391A1C">
      <w:pPr>
        <w:ind w:firstLine="340"/>
        <w:contextualSpacing/>
        <w:jc w:val="both"/>
        <w:rPr>
          <w:sz w:val="20"/>
          <w:szCs w:val="20"/>
        </w:rPr>
      </w:pPr>
      <w:r w:rsidRPr="00D95296">
        <w:rPr>
          <w:i/>
          <w:sz w:val="20"/>
          <w:szCs w:val="20"/>
        </w:rPr>
        <w:t>Несоляные породы</w:t>
      </w:r>
      <w:r w:rsidRPr="005B23C5">
        <w:rPr>
          <w:sz w:val="20"/>
          <w:szCs w:val="20"/>
        </w:rPr>
        <w:t xml:space="preserve"> калийных горизонтов Смоловского участка представлены засоленными глинами (в разли</w:t>
      </w:r>
      <w:r w:rsidRPr="005B23C5">
        <w:rPr>
          <w:sz w:val="20"/>
          <w:szCs w:val="20"/>
        </w:rPr>
        <w:t>ч</w:t>
      </w:r>
      <w:r w:rsidRPr="005B23C5">
        <w:rPr>
          <w:sz w:val="20"/>
          <w:szCs w:val="20"/>
        </w:rPr>
        <w:t>ной степени карбонатными и засульфаченными) иногда переходящими в глинистые мергели. Галопелиты</w:t>
      </w:r>
      <w:r>
        <w:rPr>
          <w:sz w:val="20"/>
          <w:szCs w:val="20"/>
        </w:rPr>
        <w:t> </w:t>
      </w:r>
      <w:r w:rsidRPr="00FD4B8D">
        <w:rPr>
          <w:color w:val="000000"/>
          <w:sz w:val="20"/>
          <w:szCs w:val="20"/>
        </w:rPr>
        <w:t>―</w:t>
      </w:r>
      <w:r w:rsidRPr="005B23C5">
        <w:rPr>
          <w:sz w:val="20"/>
          <w:szCs w:val="20"/>
        </w:rPr>
        <w:t xml:space="preserve"> т</w:t>
      </w:r>
      <w:r>
        <w:rPr>
          <w:sz w:val="20"/>
          <w:szCs w:val="20"/>
        </w:rPr>
        <w:t>ё</w:t>
      </w:r>
      <w:r w:rsidRPr="005B23C5">
        <w:rPr>
          <w:sz w:val="20"/>
          <w:szCs w:val="20"/>
        </w:rPr>
        <w:t>м</w:t>
      </w:r>
      <w:r w:rsidRPr="005B23C5">
        <w:rPr>
          <w:sz w:val="20"/>
          <w:szCs w:val="20"/>
        </w:rPr>
        <w:t>ные, зеленовато-серые, серые с зеленоватым оттенком, в различной степени к</w:t>
      </w:r>
      <w:r>
        <w:rPr>
          <w:sz w:val="20"/>
          <w:szCs w:val="20"/>
        </w:rPr>
        <w:t>репкие (от рыхлых</w:t>
      </w:r>
      <w:r w:rsidRPr="005B23C5">
        <w:rPr>
          <w:sz w:val="20"/>
          <w:szCs w:val="20"/>
        </w:rPr>
        <w:t>, мягких до довол</w:t>
      </w:r>
      <w:r w:rsidRPr="005B23C5">
        <w:rPr>
          <w:sz w:val="20"/>
          <w:szCs w:val="20"/>
        </w:rPr>
        <w:t>ь</w:t>
      </w:r>
      <w:r w:rsidRPr="005B23C5">
        <w:rPr>
          <w:sz w:val="20"/>
          <w:szCs w:val="20"/>
        </w:rPr>
        <w:t>но крепких), неяснослоистые, листоватые и тонколистоватые. Они содержат в различном количестве включения от</w:t>
      </w:r>
      <w:r>
        <w:rPr>
          <w:sz w:val="20"/>
          <w:szCs w:val="20"/>
        </w:rPr>
        <w:t>дельных зёрен и гнё</w:t>
      </w:r>
      <w:r w:rsidRPr="005B23C5">
        <w:rPr>
          <w:sz w:val="20"/>
          <w:szCs w:val="20"/>
        </w:rPr>
        <w:t>зд галита, линзовидные прослойки оранжево-красной и буровато-серой мелкозернистой каменной соли, трещины, в</w:t>
      </w:r>
      <w:r w:rsidRPr="005B23C5">
        <w:rPr>
          <w:sz w:val="20"/>
          <w:szCs w:val="20"/>
        </w:rPr>
        <w:t>ы</w:t>
      </w:r>
      <w:r w:rsidRPr="005B23C5">
        <w:rPr>
          <w:sz w:val="20"/>
          <w:szCs w:val="20"/>
        </w:rPr>
        <w:t>полненные волокнистым галитом.</w:t>
      </w:r>
    </w:p>
    <w:p w:rsidR="00391A1C" w:rsidRPr="005B23C5" w:rsidRDefault="00391A1C" w:rsidP="00391A1C">
      <w:pPr>
        <w:ind w:firstLine="340"/>
        <w:contextualSpacing/>
        <w:jc w:val="both"/>
        <w:rPr>
          <w:sz w:val="20"/>
          <w:szCs w:val="20"/>
        </w:rPr>
      </w:pPr>
      <w:r w:rsidRPr="005B23C5">
        <w:rPr>
          <w:sz w:val="20"/>
          <w:szCs w:val="20"/>
        </w:rPr>
        <w:t>Б</w:t>
      </w:r>
      <w:r>
        <w:rPr>
          <w:sz w:val="20"/>
          <w:szCs w:val="20"/>
        </w:rPr>
        <w:t>ó</w:t>
      </w:r>
      <w:r w:rsidRPr="005B23C5">
        <w:rPr>
          <w:sz w:val="20"/>
          <w:szCs w:val="20"/>
        </w:rPr>
        <w:t xml:space="preserve">льшая часть исследованных образцов была отобрана по </w:t>
      </w:r>
      <w:r w:rsidRPr="005B23C5">
        <w:rPr>
          <w:sz w:val="20"/>
          <w:szCs w:val="20"/>
          <w:lang w:val="en-US"/>
        </w:rPr>
        <w:t>I</w:t>
      </w:r>
      <w:r w:rsidRPr="005B23C5">
        <w:rPr>
          <w:sz w:val="20"/>
          <w:szCs w:val="20"/>
        </w:rPr>
        <w:t xml:space="preserve"> и </w:t>
      </w:r>
      <w:r w:rsidRPr="005B23C5">
        <w:rPr>
          <w:sz w:val="20"/>
          <w:szCs w:val="20"/>
          <w:lang w:val="en-US"/>
        </w:rPr>
        <w:t>III</w:t>
      </w:r>
      <w:r w:rsidRPr="005B23C5">
        <w:rPr>
          <w:sz w:val="20"/>
          <w:szCs w:val="20"/>
        </w:rPr>
        <w:t xml:space="preserve"> калийным горизонтам, которые на См</w:t>
      </w:r>
      <w:r w:rsidRPr="005B23C5">
        <w:rPr>
          <w:sz w:val="20"/>
          <w:szCs w:val="20"/>
        </w:rPr>
        <w:t>о</w:t>
      </w:r>
      <w:r w:rsidRPr="005B23C5">
        <w:rPr>
          <w:sz w:val="20"/>
          <w:szCs w:val="20"/>
        </w:rPr>
        <w:t xml:space="preserve">ловском участке являются промышленными. Отдельные образцы были взяты и по </w:t>
      </w:r>
      <w:r w:rsidRPr="005B23C5">
        <w:rPr>
          <w:sz w:val="20"/>
          <w:szCs w:val="20"/>
          <w:lang w:val="en-US"/>
        </w:rPr>
        <w:t>II</w:t>
      </w:r>
      <w:r w:rsidRPr="005B23C5">
        <w:rPr>
          <w:sz w:val="20"/>
          <w:szCs w:val="20"/>
        </w:rPr>
        <w:t xml:space="preserve"> горизонту, разрез которого характер</w:t>
      </w:r>
      <w:r w:rsidRPr="005B23C5">
        <w:rPr>
          <w:sz w:val="20"/>
          <w:szCs w:val="20"/>
        </w:rPr>
        <w:t>и</w:t>
      </w:r>
      <w:r w:rsidRPr="005B23C5">
        <w:rPr>
          <w:sz w:val="20"/>
          <w:szCs w:val="20"/>
        </w:rPr>
        <w:t>зуется особой чистотой.</w:t>
      </w:r>
    </w:p>
    <w:p w:rsidR="00391A1C" w:rsidRPr="005B23C5" w:rsidRDefault="00391A1C" w:rsidP="00391A1C">
      <w:pPr>
        <w:ind w:firstLine="340"/>
        <w:contextualSpacing/>
        <w:jc w:val="both"/>
        <w:rPr>
          <w:sz w:val="20"/>
          <w:szCs w:val="20"/>
        </w:rPr>
      </w:pPr>
      <w:r w:rsidRPr="005B23C5">
        <w:rPr>
          <w:sz w:val="20"/>
          <w:szCs w:val="20"/>
        </w:rPr>
        <w:t xml:space="preserve">Сравнение галопелитов </w:t>
      </w:r>
      <w:r w:rsidRPr="005B23C5">
        <w:rPr>
          <w:sz w:val="20"/>
          <w:szCs w:val="20"/>
          <w:lang w:val="en-US"/>
        </w:rPr>
        <w:t>III</w:t>
      </w:r>
      <w:r w:rsidRPr="005B23C5">
        <w:rPr>
          <w:sz w:val="20"/>
          <w:szCs w:val="20"/>
        </w:rPr>
        <w:t xml:space="preserve"> калийного горизонта на Смоловском участке с аналогичными образованиями на др</w:t>
      </w:r>
      <w:r w:rsidRPr="005B23C5">
        <w:rPr>
          <w:sz w:val="20"/>
          <w:szCs w:val="20"/>
        </w:rPr>
        <w:t>у</w:t>
      </w:r>
      <w:r w:rsidRPr="005B23C5">
        <w:rPr>
          <w:sz w:val="20"/>
          <w:szCs w:val="20"/>
        </w:rPr>
        <w:t>гих площадях развития этого горизонта показало отсутствие резких различий в их составе, хотя суммарное соде</w:t>
      </w:r>
      <w:r w:rsidRPr="005B23C5">
        <w:rPr>
          <w:sz w:val="20"/>
          <w:szCs w:val="20"/>
        </w:rPr>
        <w:t>р</w:t>
      </w:r>
      <w:r w:rsidRPr="005B23C5">
        <w:rPr>
          <w:sz w:val="20"/>
          <w:szCs w:val="20"/>
        </w:rPr>
        <w:t>жание хлоридов меньше за сч</w:t>
      </w:r>
      <w:r>
        <w:rPr>
          <w:sz w:val="20"/>
          <w:szCs w:val="20"/>
        </w:rPr>
        <w:t>ё</w:t>
      </w:r>
      <w:r w:rsidRPr="005B23C5">
        <w:rPr>
          <w:sz w:val="20"/>
          <w:szCs w:val="20"/>
        </w:rPr>
        <w:t xml:space="preserve">т снижения роли хлористого </w:t>
      </w:r>
      <w:r>
        <w:rPr>
          <w:sz w:val="20"/>
          <w:szCs w:val="20"/>
          <w:lang w:val="be-BY"/>
        </w:rPr>
        <w:t>K</w:t>
      </w:r>
      <w:r w:rsidRPr="005B23C5">
        <w:rPr>
          <w:sz w:val="20"/>
          <w:szCs w:val="20"/>
        </w:rPr>
        <w:t xml:space="preserve"> в исследованных образцах галопелитов сильвинит</w:t>
      </w:r>
      <w:r w:rsidRPr="005B23C5">
        <w:rPr>
          <w:sz w:val="20"/>
          <w:szCs w:val="20"/>
        </w:rPr>
        <w:t>о</w:t>
      </w:r>
      <w:r>
        <w:rPr>
          <w:sz w:val="20"/>
          <w:szCs w:val="20"/>
        </w:rPr>
        <w:t>вых слоё</w:t>
      </w:r>
      <w:r w:rsidRPr="005B23C5">
        <w:rPr>
          <w:sz w:val="20"/>
          <w:szCs w:val="20"/>
        </w:rPr>
        <w:t>в. Одной из характерных особенностей несоляных прослоев Смоловского учас</w:t>
      </w:r>
      <w:r w:rsidRPr="005B23C5">
        <w:rPr>
          <w:sz w:val="20"/>
          <w:szCs w:val="20"/>
        </w:rPr>
        <w:t>т</w:t>
      </w:r>
      <w:r w:rsidRPr="005B23C5">
        <w:rPr>
          <w:sz w:val="20"/>
          <w:szCs w:val="20"/>
        </w:rPr>
        <w:t xml:space="preserve">ка является возрастание доли хлоридов </w:t>
      </w:r>
      <w:r>
        <w:rPr>
          <w:sz w:val="20"/>
          <w:szCs w:val="20"/>
          <w:lang w:val="en-US"/>
        </w:rPr>
        <w:t>Ca</w:t>
      </w:r>
      <w:r w:rsidRPr="005B23C5">
        <w:rPr>
          <w:sz w:val="20"/>
          <w:szCs w:val="20"/>
        </w:rPr>
        <w:t xml:space="preserve"> и </w:t>
      </w:r>
      <w:r>
        <w:rPr>
          <w:sz w:val="20"/>
          <w:szCs w:val="20"/>
          <w:lang w:val="en-US"/>
        </w:rPr>
        <w:t>Mg</w:t>
      </w:r>
      <w:r w:rsidRPr="005B23C5">
        <w:rPr>
          <w:sz w:val="20"/>
          <w:szCs w:val="20"/>
        </w:rPr>
        <w:t xml:space="preserve"> в суммарном содержании хлоридов (от 2 до 5 раз). Соде</w:t>
      </w:r>
      <w:r w:rsidRPr="005B23C5">
        <w:rPr>
          <w:sz w:val="20"/>
          <w:szCs w:val="20"/>
        </w:rPr>
        <w:t>р</w:t>
      </w:r>
      <w:r w:rsidRPr="005B23C5">
        <w:rPr>
          <w:sz w:val="20"/>
          <w:szCs w:val="20"/>
        </w:rPr>
        <w:t xml:space="preserve">жание сульфата </w:t>
      </w:r>
      <w:r>
        <w:rPr>
          <w:sz w:val="20"/>
          <w:szCs w:val="20"/>
          <w:lang w:val="en-US"/>
        </w:rPr>
        <w:t>Ca</w:t>
      </w:r>
      <w:r w:rsidRPr="005B23C5">
        <w:rPr>
          <w:sz w:val="20"/>
          <w:szCs w:val="20"/>
        </w:rPr>
        <w:t xml:space="preserve"> в галопелитах на Смоловском участке несколько выше, чем на Нежинском, но ниже, чем на западе Старобинского мест</w:t>
      </w:r>
      <w:r w:rsidRPr="005B23C5">
        <w:rPr>
          <w:sz w:val="20"/>
          <w:szCs w:val="20"/>
        </w:rPr>
        <w:t>о</w:t>
      </w:r>
      <w:r w:rsidRPr="005B23C5">
        <w:rPr>
          <w:sz w:val="20"/>
          <w:szCs w:val="20"/>
        </w:rPr>
        <w:t>рождения (шахтные поля 2 и 5</w:t>
      </w:r>
      <w:r>
        <w:rPr>
          <w:sz w:val="20"/>
          <w:szCs w:val="20"/>
          <w:lang w:val="en-US"/>
        </w:rPr>
        <w:t> </w:t>
      </w:r>
      <w:r w:rsidRPr="005B23C5">
        <w:rPr>
          <w:sz w:val="20"/>
          <w:szCs w:val="20"/>
        </w:rPr>
        <w:t>РУ).</w:t>
      </w:r>
    </w:p>
    <w:p w:rsidR="00391A1C" w:rsidRPr="005B23C5" w:rsidRDefault="00391A1C" w:rsidP="00391A1C">
      <w:pPr>
        <w:ind w:firstLine="340"/>
        <w:contextualSpacing/>
        <w:jc w:val="both"/>
        <w:rPr>
          <w:sz w:val="20"/>
          <w:szCs w:val="20"/>
        </w:rPr>
      </w:pPr>
      <w:r w:rsidRPr="005B23C5">
        <w:rPr>
          <w:sz w:val="20"/>
          <w:szCs w:val="20"/>
        </w:rPr>
        <w:t xml:space="preserve">Распределение суммарного содержания хлоридов в галопелитах продуктивного пласта </w:t>
      </w:r>
      <w:r w:rsidRPr="005B23C5">
        <w:rPr>
          <w:sz w:val="20"/>
          <w:szCs w:val="20"/>
          <w:lang w:val="en-US"/>
        </w:rPr>
        <w:t>I</w:t>
      </w:r>
      <w:r w:rsidRPr="005B23C5">
        <w:rPr>
          <w:sz w:val="20"/>
          <w:szCs w:val="20"/>
        </w:rPr>
        <w:t xml:space="preserve"> калийного горизонта и поведение отдельных хлоридов сходно с ан</w:t>
      </w:r>
      <w:r w:rsidRPr="005B23C5">
        <w:rPr>
          <w:sz w:val="20"/>
          <w:szCs w:val="20"/>
        </w:rPr>
        <w:t>а</w:t>
      </w:r>
      <w:r w:rsidRPr="005B23C5">
        <w:rPr>
          <w:sz w:val="20"/>
          <w:szCs w:val="20"/>
        </w:rPr>
        <w:t xml:space="preserve">логичными образованиями на Нежинском участке, где этот горизонт также имеет промышленное значение. Содержание сульфата </w:t>
      </w:r>
      <w:r>
        <w:rPr>
          <w:sz w:val="20"/>
          <w:szCs w:val="20"/>
          <w:lang w:val="en-US"/>
        </w:rPr>
        <w:t>Ca</w:t>
      </w:r>
      <w:r w:rsidRPr="005B23C5">
        <w:rPr>
          <w:sz w:val="20"/>
          <w:szCs w:val="20"/>
        </w:rPr>
        <w:t xml:space="preserve"> несколько возрастает с увеличением мощности прослоя</w:t>
      </w:r>
      <w:r>
        <w:rPr>
          <w:sz w:val="20"/>
          <w:szCs w:val="20"/>
        </w:rPr>
        <w:t xml:space="preserve"> галопелитов и </w:t>
      </w:r>
      <w:r w:rsidRPr="005B23C5">
        <w:rPr>
          <w:sz w:val="20"/>
          <w:szCs w:val="20"/>
        </w:rPr>
        <w:t xml:space="preserve">близко к средним </w:t>
      </w:r>
      <w:r>
        <w:rPr>
          <w:sz w:val="20"/>
          <w:szCs w:val="20"/>
        </w:rPr>
        <w:t xml:space="preserve">его </w:t>
      </w:r>
      <w:r w:rsidRPr="005B23C5">
        <w:rPr>
          <w:sz w:val="20"/>
          <w:szCs w:val="20"/>
        </w:rPr>
        <w:t xml:space="preserve">значениям в галопелитах </w:t>
      </w:r>
      <w:r w:rsidRPr="005B23C5">
        <w:rPr>
          <w:sz w:val="20"/>
          <w:szCs w:val="20"/>
          <w:lang w:val="en-US"/>
        </w:rPr>
        <w:t>I</w:t>
      </w:r>
      <w:r w:rsidRPr="005B23C5">
        <w:rPr>
          <w:sz w:val="20"/>
          <w:szCs w:val="20"/>
        </w:rPr>
        <w:t xml:space="preserve"> горизонта на Нежинском уч</w:t>
      </w:r>
      <w:r w:rsidRPr="005B23C5">
        <w:rPr>
          <w:sz w:val="20"/>
          <w:szCs w:val="20"/>
        </w:rPr>
        <w:t>а</w:t>
      </w:r>
      <w:r w:rsidRPr="005B23C5">
        <w:rPr>
          <w:sz w:val="20"/>
          <w:szCs w:val="20"/>
        </w:rPr>
        <w:t xml:space="preserve">стке. </w:t>
      </w:r>
    </w:p>
    <w:p w:rsidR="00391A1C" w:rsidRPr="005B23C5" w:rsidRDefault="00391A1C" w:rsidP="00391A1C">
      <w:pPr>
        <w:ind w:firstLine="340"/>
        <w:contextualSpacing/>
        <w:jc w:val="both"/>
        <w:rPr>
          <w:sz w:val="20"/>
          <w:szCs w:val="20"/>
        </w:rPr>
      </w:pPr>
      <w:r w:rsidRPr="005B23C5">
        <w:rPr>
          <w:sz w:val="20"/>
          <w:szCs w:val="20"/>
        </w:rPr>
        <w:t>Из карбонатных минералов в большинстве образцов устанавливается только доломит. Содержание кальцита ниже предела обнаружения (0,1</w:t>
      </w:r>
      <w:r>
        <w:rPr>
          <w:sz w:val="20"/>
          <w:szCs w:val="20"/>
          <w:lang w:val="en-US"/>
        </w:rPr>
        <w:t> </w:t>
      </w:r>
      <w:r w:rsidRPr="005B23C5">
        <w:rPr>
          <w:sz w:val="20"/>
          <w:szCs w:val="20"/>
        </w:rPr>
        <w:t>%) и только в пробах нижней части горизонта (ниже слоя 1 и в слое 1</w:t>
      </w:r>
      <w:r w:rsidRPr="00A36702">
        <w:rPr>
          <w:bCs/>
          <w:sz w:val="20"/>
          <w:szCs w:val="22"/>
        </w:rPr>
        <w:t>―</w:t>
      </w:r>
      <w:r w:rsidRPr="005B23C5">
        <w:rPr>
          <w:sz w:val="20"/>
          <w:szCs w:val="20"/>
        </w:rPr>
        <w:t>2) обнаруживается кальцит (5,0 и 6,4</w:t>
      </w:r>
      <w:r>
        <w:rPr>
          <w:sz w:val="20"/>
          <w:szCs w:val="20"/>
          <w:lang w:val="en-US"/>
        </w:rPr>
        <w:t> </w:t>
      </w:r>
      <w:r w:rsidRPr="005B23C5">
        <w:rPr>
          <w:sz w:val="20"/>
          <w:szCs w:val="20"/>
        </w:rPr>
        <w:t>%, соответс</w:t>
      </w:r>
      <w:r w:rsidRPr="005B23C5">
        <w:rPr>
          <w:sz w:val="20"/>
          <w:szCs w:val="20"/>
        </w:rPr>
        <w:t>т</w:t>
      </w:r>
      <w:r w:rsidRPr="005B23C5">
        <w:rPr>
          <w:sz w:val="20"/>
          <w:szCs w:val="20"/>
        </w:rPr>
        <w:t>венно). Суммарное содержание карбонатов достигает 28,1</w:t>
      </w:r>
      <w:r>
        <w:rPr>
          <w:sz w:val="20"/>
          <w:szCs w:val="20"/>
          <w:lang w:val="en-US"/>
        </w:rPr>
        <w:t> </w:t>
      </w:r>
      <w:r w:rsidRPr="005B23C5">
        <w:rPr>
          <w:sz w:val="20"/>
          <w:szCs w:val="20"/>
        </w:rPr>
        <w:t xml:space="preserve">%. Сравнение галопелитов </w:t>
      </w:r>
      <w:r w:rsidRPr="005B23C5">
        <w:rPr>
          <w:sz w:val="20"/>
          <w:szCs w:val="20"/>
          <w:lang w:val="en-US"/>
        </w:rPr>
        <w:t>I</w:t>
      </w:r>
      <w:r w:rsidRPr="005B23C5">
        <w:rPr>
          <w:sz w:val="20"/>
          <w:szCs w:val="20"/>
        </w:rPr>
        <w:t xml:space="preserve"> калийного горизонта на Смоловском и Нежинском участках показало, что среднее суммарное соде</w:t>
      </w:r>
      <w:r w:rsidRPr="005B23C5">
        <w:rPr>
          <w:sz w:val="20"/>
          <w:szCs w:val="20"/>
        </w:rPr>
        <w:t>р</w:t>
      </w:r>
      <w:r w:rsidRPr="005B23C5">
        <w:rPr>
          <w:sz w:val="20"/>
          <w:szCs w:val="20"/>
        </w:rPr>
        <w:t>жание карбонатов (15,7</w:t>
      </w:r>
      <w:r>
        <w:rPr>
          <w:sz w:val="20"/>
          <w:szCs w:val="20"/>
          <w:lang w:val="en-US"/>
        </w:rPr>
        <w:t> </w:t>
      </w:r>
      <w:r w:rsidRPr="005B23C5">
        <w:rPr>
          <w:sz w:val="20"/>
          <w:szCs w:val="20"/>
        </w:rPr>
        <w:t>% по сравнению с 20,0</w:t>
      </w: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 xml:space="preserve">%) и </w:t>
      </w:r>
      <w:r w:rsidRPr="005B23C5">
        <w:rPr>
          <w:sz w:val="20"/>
          <w:szCs w:val="20"/>
        </w:rPr>
        <w:t>кальцита ниже на Смоловском. Кроме того, в разрезе горизонта на Нежинском участке среди галопелитов встречаются глинисто-карбонатные (глинистые доломиты) разности н</w:t>
      </w:r>
      <w:r w:rsidRPr="005B23C5">
        <w:rPr>
          <w:sz w:val="20"/>
          <w:szCs w:val="20"/>
        </w:rPr>
        <w:t>е</w:t>
      </w:r>
      <w:r w:rsidRPr="005B23C5">
        <w:rPr>
          <w:sz w:val="20"/>
          <w:szCs w:val="20"/>
        </w:rPr>
        <w:t>соляных пород.</w:t>
      </w:r>
    </w:p>
    <w:p w:rsidR="00391A1C" w:rsidRPr="005B23C5" w:rsidRDefault="00391A1C" w:rsidP="00391A1C">
      <w:pPr>
        <w:ind w:firstLine="340"/>
        <w:contextualSpacing/>
        <w:jc w:val="both"/>
        <w:rPr>
          <w:sz w:val="20"/>
          <w:szCs w:val="20"/>
        </w:rPr>
      </w:pPr>
      <w:r w:rsidRPr="005B23C5">
        <w:rPr>
          <w:sz w:val="20"/>
          <w:szCs w:val="20"/>
        </w:rPr>
        <w:t xml:space="preserve">По сравнению с галопелитами </w:t>
      </w:r>
      <w:r w:rsidRPr="005B23C5">
        <w:rPr>
          <w:sz w:val="20"/>
          <w:szCs w:val="20"/>
          <w:lang w:val="en-US"/>
        </w:rPr>
        <w:t>III</w:t>
      </w:r>
      <w:r w:rsidRPr="005B23C5">
        <w:rPr>
          <w:sz w:val="20"/>
          <w:szCs w:val="20"/>
        </w:rPr>
        <w:t xml:space="preserve"> калийного горизонта Смоловского участка в галопелитах </w:t>
      </w:r>
      <w:r w:rsidRPr="005B23C5">
        <w:rPr>
          <w:sz w:val="20"/>
          <w:szCs w:val="20"/>
          <w:lang w:val="en-US"/>
        </w:rPr>
        <w:t>I</w:t>
      </w:r>
      <w:r w:rsidRPr="005B23C5">
        <w:rPr>
          <w:sz w:val="20"/>
          <w:szCs w:val="20"/>
        </w:rPr>
        <w:t xml:space="preserve"> горизонта знач</w:t>
      </w:r>
      <w:r w:rsidRPr="005B23C5">
        <w:rPr>
          <w:sz w:val="20"/>
          <w:szCs w:val="20"/>
        </w:rPr>
        <w:t>и</w:t>
      </w:r>
      <w:r w:rsidRPr="005B23C5">
        <w:rPr>
          <w:sz w:val="20"/>
          <w:szCs w:val="20"/>
        </w:rPr>
        <w:t xml:space="preserve">тельно ниже суммарное содержание хлоридов </w:t>
      </w:r>
      <w:r>
        <w:rPr>
          <w:sz w:val="20"/>
          <w:szCs w:val="20"/>
          <w:lang w:val="en-US"/>
        </w:rPr>
        <w:t>Ca</w:t>
      </w:r>
      <w:r w:rsidRPr="005B23C5">
        <w:rPr>
          <w:sz w:val="20"/>
          <w:szCs w:val="20"/>
        </w:rPr>
        <w:t xml:space="preserve"> и </w:t>
      </w:r>
      <w:r>
        <w:rPr>
          <w:sz w:val="20"/>
          <w:szCs w:val="20"/>
          <w:lang w:val="en-US"/>
        </w:rPr>
        <w:t>Mg</w:t>
      </w:r>
      <w:r w:rsidRPr="005B23C5">
        <w:rPr>
          <w:sz w:val="20"/>
          <w:szCs w:val="20"/>
        </w:rPr>
        <w:t xml:space="preserve"> (пределы колебаний от 0,49 до 2,52</w:t>
      </w:r>
      <w:r>
        <w:rPr>
          <w:sz w:val="20"/>
          <w:szCs w:val="20"/>
          <w:lang w:val="en-US"/>
        </w:rPr>
        <w:t> </w:t>
      </w:r>
      <w:r w:rsidRPr="005B23C5">
        <w:rPr>
          <w:sz w:val="20"/>
          <w:szCs w:val="20"/>
        </w:rPr>
        <w:t>%, среднее</w:t>
      </w:r>
      <w:r>
        <w:rPr>
          <w:sz w:val="20"/>
          <w:szCs w:val="20"/>
          <w:lang w:val="en-US"/>
        </w:rPr>
        <w:t> </w:t>
      </w:r>
      <w:r w:rsidRPr="00A36702">
        <w:rPr>
          <w:bCs/>
          <w:sz w:val="20"/>
          <w:szCs w:val="22"/>
        </w:rPr>
        <w:t>―</w:t>
      </w:r>
      <w:r>
        <w:rPr>
          <w:bCs/>
          <w:sz w:val="20"/>
          <w:szCs w:val="22"/>
        </w:rPr>
        <w:t xml:space="preserve"> </w:t>
      </w:r>
      <w:r w:rsidRPr="005B23C5">
        <w:rPr>
          <w:sz w:val="20"/>
          <w:szCs w:val="20"/>
        </w:rPr>
        <w:t>1,93</w:t>
      </w: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%). Однако чё</w:t>
      </w:r>
      <w:r w:rsidRPr="005B23C5">
        <w:rPr>
          <w:sz w:val="20"/>
          <w:szCs w:val="20"/>
        </w:rPr>
        <w:t>ткой зависимости содержаний этих компонентов от местоположения в разрезе или мощности рассматр</w:t>
      </w:r>
      <w:r w:rsidRPr="005B23C5">
        <w:rPr>
          <w:sz w:val="20"/>
          <w:szCs w:val="20"/>
        </w:rPr>
        <w:t>и</w:t>
      </w:r>
      <w:r w:rsidRPr="005B23C5">
        <w:rPr>
          <w:sz w:val="20"/>
          <w:szCs w:val="20"/>
        </w:rPr>
        <w:t xml:space="preserve">ваемых прослоев не установлено. </w:t>
      </w:r>
    </w:p>
    <w:p w:rsidR="00391A1C" w:rsidRPr="005B23C5" w:rsidRDefault="00391A1C" w:rsidP="00391A1C">
      <w:pPr>
        <w:ind w:firstLine="3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В связи с тем, что при подсчё</w:t>
      </w:r>
      <w:r w:rsidRPr="005B23C5">
        <w:rPr>
          <w:sz w:val="20"/>
          <w:szCs w:val="20"/>
        </w:rPr>
        <w:t>те запасов калийных солей Смоловского участка использованы кондиции Краснослободского, наиболее от</w:t>
      </w:r>
      <w:r>
        <w:rPr>
          <w:sz w:val="20"/>
          <w:szCs w:val="20"/>
        </w:rPr>
        <w:t>даленного, предста</w:t>
      </w:r>
      <w:r>
        <w:rPr>
          <w:sz w:val="20"/>
          <w:szCs w:val="20"/>
        </w:rPr>
        <w:t>в</w:t>
      </w:r>
      <w:r>
        <w:rPr>
          <w:sz w:val="20"/>
          <w:szCs w:val="20"/>
        </w:rPr>
        <w:t>ляло определё</w:t>
      </w:r>
      <w:r w:rsidRPr="005B23C5">
        <w:rPr>
          <w:sz w:val="20"/>
          <w:szCs w:val="20"/>
        </w:rPr>
        <w:t>нный интерес сравнение этих участков для аналогичных калийных горизонтов. Таким образом, были сопоставлены руды практически всей территории Старобинского м</w:t>
      </w:r>
      <w:r w:rsidRPr="005B23C5">
        <w:rPr>
          <w:sz w:val="20"/>
          <w:szCs w:val="20"/>
        </w:rPr>
        <w:t>е</w:t>
      </w:r>
      <w:r w:rsidRPr="005B23C5">
        <w:rPr>
          <w:sz w:val="20"/>
          <w:szCs w:val="20"/>
        </w:rPr>
        <w:t>сторождения. Установлено, что минералого-петрографические особенности практически идентичны для руд анал</w:t>
      </w:r>
      <w:r w:rsidRPr="005B23C5">
        <w:rPr>
          <w:sz w:val="20"/>
          <w:szCs w:val="20"/>
        </w:rPr>
        <w:t>о</w:t>
      </w:r>
      <w:r w:rsidRPr="005B23C5">
        <w:rPr>
          <w:sz w:val="20"/>
          <w:szCs w:val="20"/>
        </w:rPr>
        <w:t>гичных горизонтов и вещественный состав их неизменен, но наблюдаются лишь колебания тех или иных комп</w:t>
      </w:r>
      <w:r w:rsidRPr="005B23C5">
        <w:rPr>
          <w:sz w:val="20"/>
          <w:szCs w:val="20"/>
        </w:rPr>
        <w:t>о</w:t>
      </w:r>
      <w:r w:rsidRPr="005B23C5">
        <w:rPr>
          <w:sz w:val="20"/>
          <w:szCs w:val="20"/>
        </w:rPr>
        <w:t>нентов. Отмеченные особенности сильвинитовых руд позволяют считать их стандартным для Старобинского м</w:t>
      </w:r>
      <w:r w:rsidRPr="005B23C5">
        <w:rPr>
          <w:sz w:val="20"/>
          <w:szCs w:val="20"/>
        </w:rPr>
        <w:t>е</w:t>
      </w:r>
      <w:r w:rsidRPr="005B23C5">
        <w:rPr>
          <w:sz w:val="20"/>
          <w:szCs w:val="20"/>
        </w:rPr>
        <w:t>сторождения сырьем, для которого уже существует схема об</w:t>
      </w:r>
      <w:r w:rsidRPr="005B23C5">
        <w:rPr>
          <w:sz w:val="20"/>
          <w:szCs w:val="20"/>
        </w:rPr>
        <w:t>о</w:t>
      </w:r>
      <w:r w:rsidRPr="005B23C5">
        <w:rPr>
          <w:sz w:val="20"/>
          <w:szCs w:val="20"/>
        </w:rPr>
        <w:t xml:space="preserve">гащения. </w:t>
      </w:r>
    </w:p>
    <w:p w:rsidR="009069C9" w:rsidRDefault="00391A1C"/>
    <w:sectPr w:rsidR="009069C9" w:rsidSect="0059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91A1C"/>
    <w:rsid w:val="00196E57"/>
    <w:rsid w:val="00391A1C"/>
    <w:rsid w:val="003B6038"/>
    <w:rsid w:val="004A7217"/>
    <w:rsid w:val="00593281"/>
    <w:rsid w:val="00720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A1C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1490</Words>
  <Characters>8498</Characters>
  <Application>Microsoft Office Word</Application>
  <DocSecurity>0</DocSecurity>
  <Lines>70</Lines>
  <Paragraphs>19</Paragraphs>
  <ScaleCrop>false</ScaleCrop>
  <Company>Microsoft</Company>
  <LinksUpToDate>false</LinksUpToDate>
  <CharactersWithSpaces>9969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UNLOCK 005</dc:creator>
  <cp:keywords/>
  <dc:description/>
  <cp:lastModifiedBy>UNLOCK 005</cp:lastModifiedBy>
  <cp:revision>2</cp:revision>
  <dcterms:created xsi:type="dcterms:W3CDTF">2013-09-24T08:44:00Z</dcterms:created>
  <dcterms:modified xsi:type="dcterms:W3CDTF">2013-09-24T08:44:00Z</dcterms:modified>
</cp:coreProperties>
</file>