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98" w:rsidRPr="00A122D7" w:rsidRDefault="00845498" w:rsidP="00845498">
      <w:pPr>
        <w:pStyle w:val="a4"/>
        <w:outlineLvl w:val="0"/>
      </w:pPr>
      <w:bookmarkStart w:id="0" w:name="_Toc360295414"/>
      <w:bookmarkStart w:id="1" w:name="_Toc360297359"/>
      <w:bookmarkStart w:id="2" w:name="_Toc360299239"/>
      <w:bookmarkStart w:id="3" w:name="_GoBack"/>
      <w:r w:rsidRPr="00A122D7">
        <w:t>ПРИНЦИП ДОПОЛНИТЕЛЬНОСТИ В ИССЛЕДОВАНИЯХ КОММУНИКАТИВНОГО ПОВЕДЕНИЯ И ГЕНДЕРА</w:t>
      </w:r>
      <w:bookmarkEnd w:id="0"/>
      <w:bookmarkEnd w:id="1"/>
      <w:bookmarkEnd w:id="2"/>
    </w:p>
    <w:bookmarkEnd w:id="3"/>
    <w:p w:rsidR="00845498" w:rsidRPr="00A122D7" w:rsidRDefault="00845498" w:rsidP="0084549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Путрова</w:t>
      </w:r>
      <w:proofErr w:type="spellEnd"/>
      <w:r w:rsidRPr="00A122D7">
        <w:rPr>
          <w:rFonts w:ascii="Times New Roman" w:hAnsi="Times New Roman" w:cs="Times New Roman"/>
          <w:i/>
          <w:color w:val="auto"/>
          <w:sz w:val="28"/>
          <w:szCs w:val="28"/>
        </w:rPr>
        <w:t> М.Д.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 настоящей работе термин дополнительности интерпретируется в соответствии с широко известной и ставшей поистине революционной в естествознании теории дополнительности Н. Бора. К 1926 году в физике сформировались две системы описания атома: матричная механика Гейзенберга и волновая механика Э.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Шрёдингера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[1, с. 166]. Первая доказательно представляла электрон как частицу, вторая – как волну. При этом обе теории были, несомненно, верными и подтверждались экспериментальными данными. Возникал вопрос: как такое могло быть и как следует интерпретировать названное очевидное противоречие? Ответ на данный вопрос был найден Н. Бором и представлен в его знаменитой теории дополнительности, которая в корне изменила понимание мира физиками. Ее революционизирующий смысл состоял в том, что не нужно выбирать между представлением об электроне как о частице или волне. Данные классические образы не исключают, а дополняют друг друга и только вместе могут достаточно полно описать объемную реальность мира. 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Такой подход, на наш взгляд, предлагает весьма конструктивную идею для интерпретации языка и вербального поведения, особенно в плане гендерной их вариативности. Он позволяет осуществить по-настоящему целостный, холистический подход к объяснению сущности языка, коммуникативного поведения и гендерных стратификаций в них.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Справедливо признать, что идея дополнительности (или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уже высказывалась исследователями и ранее, особенно в сопредельных областях. Так, выдающийся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герменевт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 философ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 своем небольшом трактате «Празднование рождества или канун рождественских праздников: диалог об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инкарнации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» сделал важные замечания по поводу значимости гендерных вариантов употребления языка.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Данный трактат весьма подробно и доказательно описывает разговоры прихожан, мужчин и женщин, в семейном кругу после их возвращения из церкви о значимости рождественских праздников. Мужчины чаще всего обсуждают концептуальные трудности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инкарнации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. Их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маскулинный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принцип организации интерактивного процесса основывается главным образом на сравнении и анализе. Женщины, напротив, предаются воспеванию гимнов Иисусу, которого воспринимают и знают чисто интуитивно,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супра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сверхрационально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главным образом опираясь на некий более непосредственный опыт отношений с ним, и поэтому они выбирают язык, отражающий собственные переживания.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комментирует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данную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инаковость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 осмыслении и языковой репрезентации рождества и сущности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инкарнации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как вполне правомерную и полагает, что женщины, безусловно, тоже правы, однако, к сожалению, их опыт вербального поведения пренебрегается, остается неосмысленным. Исследователь доказывает, что фактически оба подхода – более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дивинаторный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фемининный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) и аналитический, сопоставительный, анализирующий (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маскулинный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– находятся друг с другом в отношениях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или дополнительности, в терминах теории Н. Бора, а не </w:t>
      </w:r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противопоставления. Оба подхода, убежден великий философ-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герменевт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, необходимы для постижения глубины объекта. 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Фемининный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принцип, однако, по мнению автора, церковью пренебрегался. Между тем каждый из данных подходов или методов ведения разговора предполагает существование друг друга или, в терминах автора, другого [2]. Чтобы понять людей, их язык и окружающую их действительность, следует начинать с целого с учетом обоих основных способов интерпретации мира [2, с. 166].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Что произойдет, если мы сосредоточим свое внимание только на одном из данных методов? Отвечая на данный вопрос, 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аргументировано заявляет, что следуя только </w:t>
      </w:r>
      <w:proofErr w:type="spellStart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>дивинаторному</w:t>
      </w:r>
      <w:proofErr w:type="spellEnd"/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методу, мы сделаем наши интерпретации слишком неопределенными, туманными. Если же, напротив, ограничимся только сравнительным, аналитическим методом, то рискуем </w:t>
      </w:r>
      <w:r w:rsidRPr="00A122D7">
        <w:rPr>
          <w:rFonts w:ascii="Times New Roman" w:hAnsi="Times New Roman" w:cs="Times New Roman"/>
          <w:color w:val="auto"/>
          <w:spacing w:val="-2"/>
          <w:sz w:val="28"/>
          <w:szCs w:val="28"/>
        </w:rPr>
        <w:lastRenderedPageBreak/>
        <w:t>превратиться в педантов [2, с.151].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На первый взгляд может показаться, что его замечания касаются только так называемого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дивинаторного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аспекта процесса общения – обсуждения 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толкования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культовых тем и текстов. Современные исследования в области лингвистики и герменевтики, однако, убедительно свидетельствуют о том, что понимание и интерпретация предполагают использование множественных подходов. Что существует огромное разнообразие способов постижения сути объекта, ибо, как утверждает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любой акт говорения, любое речевое действие соотносится а) как со всей совокупностью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взаимоопределяющих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сущностей языка, так и б) со всем разнообразием мыслей и жизненного опыта говорящих и слушающих субъектов [2, с. 97-98].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К сожалению, данные выводы известного философа 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герменевта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не были приняты во внимание. Более того, они остались незамеченными даже теми, кто специально занимался историей вопроса изучения языка в гендерном плане. Исследователи в области гендерных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штудий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особенно их герменевтического направления, вынуждены были открывать его заново.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лингвистика имеет в своем распоряжении целый ряд способов и путей анализа текстов,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позволяющих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так или иначе проникать в опыт человека. На наш взгляд, одним из самых надежных следует признать тот, который предоставляет нам так называемая теория речевых действий. Ведь, как подчеркивал Гумбольдт и цитируемый ранее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а также многие современные выдающиеся лингвисты, общение, коммуникативную деятельность и репрезентацию опыта в них нельзя сколько-нибудь полно объяснить только в терминах структурализма, ибо язык имеет своим основанием жизнь, опыт, он, выражаясь техническими терминами, заземлен или замкнут на жизнь [3, с. 27-33]. По верному наблюдению Ш.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Балли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в разговоре, преследующем практические цели, повествование, описание и объяснения на требуемые темы никогда не бывает чисто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нарративными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чисто объяснительными или чисто описательными. Но они всегда являются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подлинными действиями и все имеют определенную практическую цель [3, с.37].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Теория речевых действий как раз и нацелена на установление того, каким образом говорящий с помощью языка совершает адекватные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иллокутивные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акты.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Она открывает возможности рассмотрения функционирования языка в реальных ситуациях общения, что предполагает изучение отношений, возникающих между системой и непосредственным языковым поведенческим актом, или между структурой и событием, структурой и мировидением человека, полностью вытекающим из его опыта или основывающимся на нем.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Для подтверждения сказанного можно привести результаты проведенного нами сопоставительного исследования вербального поведения в четырех культурах: белорусской, русской, американской и английской. Изучению подлежали значительные массивы записей подлинного общения, состоящие примерно из 40 000 слов текста в каждой культуре и отражающие вербальное поведение носителей языка в разных ситуациях частной и публичной жизни.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Одним из важнейших исходных постулатов исследования было убеждение в том, что основополагающей единицей репрезентации опыта говорящего субъекта в тексте (в нашем случае, в записях интерактивных событий) является, выражаясь словами Дж.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Серля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не символ, слово или предложение как грамматическая конструкция, а речевое действие, запечатлевающее производство, возникновение, появление символа, слова или предложения в процессе говорения [4, с. 211].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Целью исследования были идентификация разновидностей речевых действий в записанных текстах и анализ частотности установленных разновидностей в говорении разных групп говорящих субъектов с целью выявления возможных различий и общих черт в том, как они осуществляют концептуализацию мира, так или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иначе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репрезентируя свой опыт средствами языка.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Основываясь на фундаментальном исходном постулате, предложенном в приведенном утверждении Дж.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Серля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мы смогли осуществить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идентификацию речевых действий в нашем материале. В ходе эксперимента широко использовались перечни речевых действий, представленные в известных трудах по теории вопроса. Некоторые наименования пришлось ввести в ходе идентификации, так как существующие классификации не смогли охватить все зафиксированные нами разновидности речевых действий. В результате был получен достаточно внушительный перечень речевых актов. Весьма примечательно, что все разнообразие действий из нашего списка, в принципе, встречается в говорении представителей обоих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гендеров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однако пропорции и сфера манифестации для большинства из них оказываются в определенной мере специфичными. А для некоторых из них весьма или даже в высшей степени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специфичными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. Сказанное особенно верно о действиях, которые, в терминах теории М.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Халидэя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можно квалифицировать как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матические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mathetic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или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отношенческие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relational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) и которые направлены на экспликацию счастья, сопричастности, совместности, привязанности и даже любви [5, с. 7]. Согласно данным анализа частотности употребления обсуждаемых действий в записях подлинного говорения в четырех культурах, они во всей своей совокупности и в отдельных разновидностях реализуются значительно чаще, правда, с определенными особенностями в зависимости от культурной принадлежности говорящих субъектов, в вербальном поведении женщин. Сказанное верно и о так называемых актах литании [6, с. 10], фиксирующих разнообразные жалобы и причитания говорящих, правда, с еще большим размежеванием в зависимости от культурной идентичности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коммуникантов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Не составляет большого труда интерпретировать подобные акты и гендерные различия в показателях частотности их реализации в терминах широко известной теории сексизма в языке [7]. Целесообразно, однако, воздержаться от подобных обобщений. Представляется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более оправданным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обратить внимание на гораздо менее известную теорию гендерных стратификаций в тексте и языке, инициированную в рамках герменевтического, в частности, библейского направления гендерных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исследований и особенно на выводы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Шлеермахера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считавшего оправданным говорить о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 гармонии как важнейших принципах организации языка и значимости всех способов манифестации смысла. Данные выводы представляются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весьма оправданными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>. Не случайно они, правда, в более общем виде относительно задач исследования культуры повторяются в теории дополнительности Н. Бора.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 настоящее время все понимают значимость сохранения разнообразия в природе. Последнее воспринимается как наше общее благо. При этом ученые настаивают на мерах по сохранению и защите всех разновидностей флоры и фауны. Почему же мы должны относиться к языку иначе? Ведь разнообразие и социально детерминированная специфика реализации речевых действий, которая наблюдается в подлинном общении, также является нашим общим достоянием, которое может быть отличной основой для постижения богатств человеческого языка, коммуникативного поведения, культуры и опыта.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Мы полагаем, что лингвистика должна тщательно изучать проявления дополнительности в языке и вербальном поведении вообще и по гендерному признаку в частности, показывать отношения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комплементарности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прослеживающиеся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в особенностях употребления языка, в сохранении и репрезентации его средствами человеческого опыта во всем его разнообразии и особенностях. Было бы замечательно составить максимально полный перечень всех речевых действий, встречающихся в общении человека, установить культурные и гендерные особенности каждого из них и представить полученные данные в обобщающем подробном словаре речевых действий. Весьма полезную информацию в таком перечне составили бы данные о социальных (гендерных в том числе) ареалах употребительности включенных в него разновидностей речевых действий. Они бы представили достаточно убедительные и подробные данные для постижения особенностей проявления принципа дополнительности в языке, с помощью которого из всего разнообразия речевых актов строится грандиозная многослойность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речевой деятельности, создается величественная система языка как деятельности.</w:t>
      </w:r>
    </w:p>
    <w:p w:rsidR="00845498" w:rsidRPr="00A122D7" w:rsidRDefault="00845498" w:rsidP="008454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Литература</w:t>
      </w:r>
    </w:p>
    <w:p w:rsidR="00845498" w:rsidRPr="00A122D7" w:rsidRDefault="00845498" w:rsidP="008454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Петрановская</w:t>
      </w:r>
      <w:proofErr w:type="spellEnd"/>
      <w:r w:rsidRPr="00A122D7">
        <w:rPr>
          <w:b w:val="0"/>
          <w:sz w:val="28"/>
          <w:szCs w:val="28"/>
        </w:rPr>
        <w:t>, Л. Нильс Бор и квантовая революция / Л. </w:t>
      </w:r>
      <w:proofErr w:type="spellStart"/>
      <w:r w:rsidRPr="00A122D7">
        <w:rPr>
          <w:b w:val="0"/>
          <w:sz w:val="28"/>
          <w:szCs w:val="28"/>
        </w:rPr>
        <w:t>Петрановская</w:t>
      </w:r>
      <w:proofErr w:type="spellEnd"/>
      <w:r w:rsidRPr="00A122D7">
        <w:rPr>
          <w:b w:val="0"/>
          <w:sz w:val="28"/>
          <w:szCs w:val="28"/>
        </w:rPr>
        <w:t xml:space="preserve"> // Физика. Энциклопедия.</w:t>
      </w:r>
      <w:r w:rsidRPr="00A122D7">
        <w:rPr>
          <w:b w:val="0"/>
          <w:sz w:val="28"/>
          <w:szCs w:val="28"/>
          <w:lang w:val="en-US"/>
        </w:rPr>
        <w:t> </w:t>
      </w:r>
      <w:r w:rsidRPr="00A122D7">
        <w:rPr>
          <w:b w:val="0"/>
          <w:sz w:val="28"/>
          <w:szCs w:val="28"/>
        </w:rPr>
        <w:t xml:space="preserve">М.: </w:t>
      </w:r>
      <w:proofErr w:type="spellStart"/>
      <w:r w:rsidRPr="00A122D7">
        <w:rPr>
          <w:b w:val="0"/>
          <w:sz w:val="28"/>
          <w:szCs w:val="28"/>
        </w:rPr>
        <w:t>Аванта</w:t>
      </w:r>
      <w:proofErr w:type="spellEnd"/>
      <w:r w:rsidRPr="00A122D7">
        <w:rPr>
          <w:b w:val="0"/>
          <w:sz w:val="28"/>
          <w:szCs w:val="28"/>
        </w:rPr>
        <w:t>, 2009. – С.</w:t>
      </w:r>
      <w:r w:rsidRPr="00A122D7">
        <w:rPr>
          <w:b w:val="0"/>
          <w:sz w:val="28"/>
          <w:szCs w:val="28"/>
          <w:lang w:val="en-US"/>
        </w:rPr>
        <w:t> </w:t>
      </w:r>
      <w:r w:rsidRPr="00A122D7">
        <w:rPr>
          <w:b w:val="0"/>
          <w:sz w:val="28"/>
          <w:szCs w:val="28"/>
        </w:rPr>
        <w:t xml:space="preserve">161-172. </w:t>
      </w:r>
    </w:p>
    <w:p w:rsidR="00845498" w:rsidRPr="00A122D7" w:rsidRDefault="00845498" w:rsidP="008454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  <w:lang w:val="en-US"/>
        </w:rPr>
      </w:pPr>
      <w:r w:rsidRPr="00A122D7">
        <w:rPr>
          <w:b w:val="0"/>
          <w:sz w:val="28"/>
          <w:szCs w:val="28"/>
          <w:lang w:val="en-US"/>
        </w:rPr>
        <w:t>Schleiermacher, F.D.E. Hermeneutics / F.D.E. Schleiermacher// Missoula: Scholars Press, 1977. – 318 p.</w:t>
      </w:r>
    </w:p>
    <w:p w:rsidR="00845498" w:rsidRPr="00A122D7" w:rsidRDefault="00845498" w:rsidP="008454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Балли</w:t>
      </w:r>
      <w:proofErr w:type="spellEnd"/>
      <w:r w:rsidRPr="00A122D7">
        <w:rPr>
          <w:b w:val="0"/>
          <w:sz w:val="28"/>
          <w:szCs w:val="28"/>
        </w:rPr>
        <w:t>, Ш. Язык и жизнь/Ш.</w:t>
      </w:r>
      <w:r w:rsidRPr="00A122D7">
        <w:rPr>
          <w:b w:val="0"/>
          <w:sz w:val="28"/>
          <w:szCs w:val="28"/>
          <w:lang w:val="en-US"/>
        </w:rPr>
        <w:t> </w:t>
      </w:r>
      <w:proofErr w:type="spellStart"/>
      <w:r w:rsidRPr="00A122D7">
        <w:rPr>
          <w:b w:val="0"/>
          <w:sz w:val="28"/>
          <w:szCs w:val="28"/>
        </w:rPr>
        <w:t>Балли</w:t>
      </w:r>
      <w:proofErr w:type="spellEnd"/>
      <w:r w:rsidRPr="00A122D7">
        <w:rPr>
          <w:b w:val="0"/>
          <w:sz w:val="28"/>
          <w:szCs w:val="28"/>
        </w:rPr>
        <w:t>. – М., 2003. – 306 с.</w:t>
      </w:r>
    </w:p>
    <w:p w:rsidR="00845498" w:rsidRPr="00A122D7" w:rsidRDefault="00845498" w:rsidP="008454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Серль</w:t>
      </w:r>
      <w:proofErr w:type="spellEnd"/>
      <w:r w:rsidRPr="00A122D7">
        <w:rPr>
          <w:b w:val="0"/>
          <w:sz w:val="28"/>
          <w:szCs w:val="28"/>
        </w:rPr>
        <w:t xml:space="preserve">, </w:t>
      </w:r>
      <w:proofErr w:type="spellStart"/>
      <w:r w:rsidRPr="00A122D7">
        <w:rPr>
          <w:b w:val="0"/>
          <w:sz w:val="28"/>
          <w:szCs w:val="28"/>
        </w:rPr>
        <w:t>Дж.</w:t>
      </w:r>
      <w:proofErr w:type="gramStart"/>
      <w:r w:rsidRPr="00A122D7">
        <w:rPr>
          <w:b w:val="0"/>
          <w:sz w:val="28"/>
          <w:szCs w:val="28"/>
        </w:rPr>
        <w:t>Р</w:t>
      </w:r>
      <w:proofErr w:type="spellEnd"/>
      <w:r w:rsidRPr="00A122D7">
        <w:rPr>
          <w:b w:val="0"/>
          <w:sz w:val="28"/>
          <w:szCs w:val="28"/>
        </w:rPr>
        <w:t>.</w:t>
      </w:r>
      <w:proofErr w:type="gramEnd"/>
      <w:r w:rsidRPr="00A122D7">
        <w:rPr>
          <w:b w:val="0"/>
          <w:sz w:val="28"/>
          <w:szCs w:val="28"/>
        </w:rPr>
        <w:t xml:space="preserve"> Что такое речевой акт/</w:t>
      </w:r>
      <w:proofErr w:type="spellStart"/>
      <w:r w:rsidRPr="00A122D7">
        <w:rPr>
          <w:b w:val="0"/>
          <w:sz w:val="28"/>
          <w:szCs w:val="28"/>
        </w:rPr>
        <w:t>Дж.Р</w:t>
      </w:r>
      <w:proofErr w:type="spellEnd"/>
      <w:r w:rsidRPr="00A122D7">
        <w:rPr>
          <w:b w:val="0"/>
          <w:sz w:val="28"/>
          <w:szCs w:val="28"/>
        </w:rPr>
        <w:t>. </w:t>
      </w:r>
      <w:proofErr w:type="spellStart"/>
      <w:r w:rsidRPr="00A122D7">
        <w:rPr>
          <w:b w:val="0"/>
          <w:sz w:val="28"/>
          <w:szCs w:val="28"/>
        </w:rPr>
        <w:t>Серль</w:t>
      </w:r>
      <w:proofErr w:type="spellEnd"/>
      <w:r w:rsidRPr="00A122D7">
        <w:rPr>
          <w:b w:val="0"/>
          <w:sz w:val="28"/>
          <w:szCs w:val="28"/>
        </w:rPr>
        <w:t xml:space="preserve">//Зарубежная лингвистика. М., 2002. – С. 210-228 </w:t>
      </w:r>
    </w:p>
    <w:p w:rsidR="00845498" w:rsidRPr="00A122D7" w:rsidRDefault="00845498" w:rsidP="008454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  <w:lang w:val="en-US"/>
        </w:rPr>
      </w:pPr>
      <w:proofErr w:type="spellStart"/>
      <w:r w:rsidRPr="00A122D7">
        <w:rPr>
          <w:b w:val="0"/>
          <w:sz w:val="28"/>
          <w:szCs w:val="28"/>
          <w:lang w:val="en-US"/>
        </w:rPr>
        <w:t>Halliday</w:t>
      </w:r>
      <w:proofErr w:type="spellEnd"/>
      <w:r w:rsidRPr="00A122D7">
        <w:rPr>
          <w:b w:val="0"/>
          <w:sz w:val="28"/>
          <w:szCs w:val="28"/>
          <w:lang w:val="en-US"/>
        </w:rPr>
        <w:t>, M.A.K. Spoken and Written Language/M.A.K. </w:t>
      </w:r>
      <w:proofErr w:type="spellStart"/>
      <w:r w:rsidRPr="00A122D7">
        <w:rPr>
          <w:b w:val="0"/>
          <w:sz w:val="28"/>
          <w:szCs w:val="28"/>
          <w:lang w:val="en-US"/>
        </w:rPr>
        <w:t>Halliday</w:t>
      </w:r>
      <w:proofErr w:type="spellEnd"/>
      <w:r w:rsidRPr="00A122D7">
        <w:rPr>
          <w:b w:val="0"/>
          <w:sz w:val="28"/>
          <w:szCs w:val="28"/>
          <w:lang w:val="en-US"/>
        </w:rPr>
        <w:t>. – Oxford: OUP, 1992. – 109 p.</w:t>
      </w:r>
    </w:p>
    <w:p w:rsidR="00845498" w:rsidRPr="00A122D7" w:rsidRDefault="00845498" w:rsidP="008454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A122D7">
        <w:rPr>
          <w:b w:val="0"/>
          <w:sz w:val="28"/>
          <w:szCs w:val="28"/>
        </w:rPr>
        <w:t>Задворная</w:t>
      </w:r>
      <w:proofErr w:type="spellEnd"/>
      <w:r w:rsidRPr="00A122D7">
        <w:rPr>
          <w:b w:val="0"/>
          <w:sz w:val="28"/>
          <w:szCs w:val="28"/>
        </w:rPr>
        <w:t>, Е.Г. «Литания» в русском речевом общении/Е.Г. </w:t>
      </w:r>
      <w:proofErr w:type="spellStart"/>
      <w:r w:rsidRPr="00A122D7">
        <w:rPr>
          <w:b w:val="0"/>
          <w:sz w:val="28"/>
          <w:szCs w:val="28"/>
        </w:rPr>
        <w:t>Задворная</w:t>
      </w:r>
      <w:proofErr w:type="spellEnd"/>
      <w:r w:rsidRPr="00A122D7">
        <w:rPr>
          <w:b w:val="0"/>
          <w:sz w:val="28"/>
          <w:szCs w:val="28"/>
        </w:rPr>
        <w:t>//Межкультурная коммуникация: Теория и практика. – Мн.: МГЛУ, 2007. – С. 10-12.</w:t>
      </w:r>
    </w:p>
    <w:p w:rsidR="00845498" w:rsidRPr="00A122D7" w:rsidRDefault="00845498" w:rsidP="008454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122D7">
        <w:rPr>
          <w:b w:val="0"/>
          <w:sz w:val="28"/>
          <w:szCs w:val="28"/>
        </w:rPr>
        <w:t>Денисова, А.А. Сексизм./А.А. Денисова//Словарь гендерных терминов. – М., 2002. – С. 200-201.</w:t>
      </w:r>
    </w:p>
    <w:p w:rsidR="00844137" w:rsidRDefault="00844137"/>
    <w:sectPr w:rsidR="0084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A99"/>
    <w:multiLevelType w:val="hybridMultilevel"/>
    <w:tmpl w:val="ABF8EA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98"/>
    <w:rsid w:val="00844137"/>
    <w:rsid w:val="008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98"/>
    <w:pPr>
      <w:widowControl/>
      <w:ind w:left="720"/>
      <w:contextualSpacing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5">
    <w:name w:val=" Знак Знак5"/>
    <w:basedOn w:val="a"/>
    <w:next w:val="a"/>
    <w:rsid w:val="00845498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845498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845498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4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9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98"/>
    <w:pPr>
      <w:widowControl/>
      <w:ind w:left="720"/>
      <w:contextualSpacing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5">
    <w:name w:val=" Знак Знак5"/>
    <w:basedOn w:val="a"/>
    <w:next w:val="a"/>
    <w:rsid w:val="00845498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845498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845498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4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2013-10-18T12:17:00Z</dcterms:created>
  <dcterms:modified xsi:type="dcterms:W3CDTF">2013-10-18T12:18:00Z</dcterms:modified>
</cp:coreProperties>
</file>