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6243">
        <w:rPr>
          <w:rFonts w:ascii="Times New Roman" w:hAnsi="Times New Roman" w:cs="Times New Roman"/>
          <w:sz w:val="28"/>
          <w:szCs w:val="28"/>
        </w:rPr>
        <w:t>ЛИНЕЙНАЯ СТРУКТУРА КОММУНИКАТИВНЫХ КОНТЕКСТОВ УМЕСТНОСТИ В СОПОСТАВИТЕЛЬНОМ АСПЕКТЕ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Ильюшенко Ю.В.</w:t>
      </w:r>
      <w:bookmarkEnd w:id="0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Отражая различные формы соответствия высказывания целям и задачам общения, коммуникативному контексту его употребления и связанная с эффективностью речевых действий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[1],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лингвопрагматическая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категория уместности  обнаруживает свою специфику в диалогическом общении. Особый интерес при этом представляет коммуникативная организация диалогических контекстов, в которых эксплицируются различные виды уместности (в частности, уместность тематическая,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-ролевая,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темпоральная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локативная</w:t>
      </w:r>
      <w:proofErr w:type="spellEnd"/>
      <w:proofErr w:type="gramStart"/>
      <w:r w:rsidRPr="006062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Цель данной работы состоит в выявлении межкультурных различий в структурной репрезентации контекстов уместности. Материалом исследования послужили фрагменты диалогов из современной художественной литературы на английском и русском языках (по 350 фрагментов в каждой выборке), содержащие высказывания, в которых осуществляется экспликация уместности/неуместности речевых действий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>.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 Как показал анализ фактического материала, исследуемые контексты обладают сложной линейной структурой,  т.е. представляют собой сложные речевые действия, состоящие из нескольких компонентов, выполняющих разные функции в диалоге. Так, в линейной структуре контекстов уместности представляется возможным выделить следующие компоненты: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1)</w:t>
      </w:r>
      <w:r w:rsidRPr="00606243">
        <w:rPr>
          <w:rFonts w:ascii="Times New Roman" w:hAnsi="Times New Roman" w:cs="Times New Roman"/>
          <w:sz w:val="28"/>
          <w:szCs w:val="28"/>
        </w:rPr>
        <w:tab/>
        <w:t>собственно (не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>местное высказывание;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2)</w:t>
      </w:r>
      <w:r w:rsidRPr="00606243">
        <w:rPr>
          <w:rFonts w:ascii="Times New Roman" w:hAnsi="Times New Roman" w:cs="Times New Roman"/>
          <w:sz w:val="28"/>
          <w:szCs w:val="28"/>
        </w:rPr>
        <w:tab/>
        <w:t>ходы, эксплицирующие (не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местность: проверка уместности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?; Могу я задать Вам один личный вопрос?), констатация (не)уместности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; Я не хочу говорить о делах), настаивание на уместности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boss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obey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Нет, это я буду говорить, а ты слушай!);</w:t>
      </w:r>
      <w:proofErr w:type="gramEnd"/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3)</w:t>
      </w:r>
      <w:r w:rsidRPr="00606243">
        <w:rPr>
          <w:rFonts w:ascii="Times New Roman" w:hAnsi="Times New Roman" w:cs="Times New Roman"/>
          <w:sz w:val="28"/>
          <w:szCs w:val="28"/>
        </w:rPr>
        <w:tab/>
        <w:t xml:space="preserve">ходы, оптимизирующие неуместность: выставление условий адресату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asking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; Хорошо, поговорим. 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 xml:space="preserve">Только давай побыстрей), ходы, содержащие предложения по оптимизации коммуникативного взаимодействия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>; Давай поговорим о чем-нибудь другом);</w:t>
      </w:r>
      <w:proofErr w:type="gramEnd"/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606243">
        <w:rPr>
          <w:rFonts w:ascii="Times New Roman" w:hAnsi="Times New Roman" w:cs="Times New Roman"/>
          <w:sz w:val="28"/>
          <w:szCs w:val="28"/>
        </w:rPr>
        <w:tab/>
        <w:t xml:space="preserve">мотивировки неуместности: практико-ориентированные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urgent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; Дело очень важное),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социоролевые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talking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boss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; Мы же профессионалы), межличностные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rely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>; Ты знаешь, как я к тебе отношусь);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5)</w:t>
      </w:r>
      <w:r w:rsidRPr="00606243">
        <w:rPr>
          <w:rFonts w:ascii="Times New Roman" w:hAnsi="Times New Roman" w:cs="Times New Roman"/>
          <w:sz w:val="28"/>
          <w:szCs w:val="28"/>
        </w:rPr>
        <w:tab/>
        <w:t xml:space="preserve">ходы, смягчающие неуместность: извинения,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минимизаторы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; Я много времени не займу, Обещаю, что буду краток), дисклеймеры 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probably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hearing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>…; Знаю, что лезу не в свои дела, но…);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6)</w:t>
      </w:r>
      <w:r w:rsidRPr="00606243">
        <w:rPr>
          <w:rFonts w:ascii="Times New Roman" w:hAnsi="Times New Roman" w:cs="Times New Roman"/>
          <w:sz w:val="28"/>
          <w:szCs w:val="28"/>
        </w:rPr>
        <w:tab/>
        <w:t xml:space="preserve">ходы, усиливающие неуместность: упрек, предупреждение, критика, угроза (ср.: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yelling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hanging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>; Больше ни слова, либо я за себя не отвечаю!).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Как видим, контексты уместности в анализируемых выборках обладают 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достаточно развернутой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 линейной структурой, состоящей их разнообразных компонентов. При этом сопоставительный анализ англ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 и русскоязычных контекстов уместности позволил выявить  некоторые схожие тенденции в их линейной организации. В частности, установлено, что в двух корпусах примеров контексты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локативной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уместности представлены наименьшим набором структурных компонентов по сравнению с другими видами уместности, тогда как контексты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>-ролевой и тематической уместности являются самыми сложными с точки зрения их линейной организации. Так, в исследуемых выборках контексты данных видов уместности часто осложняются за счет введения в качестве дополнительных компонентов ходов, выставляющих условия адресату, мотивировок, реплик-извинений, предложений по оптимизации коммуникативного взаимодействия.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Вместе с тем сопоставление двух выборок позволило зафиксировать и некоторые межкультурные расхождения, касающиеся структурной репрезентации контекстов уместности. 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В русскоязычной выборке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несколько чаще используют реплики–извинения за свое неуместное коммуникативное поведение (24% – 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., 19% – англ.). Кроме того, русскоязычные собеседники чаще прибегают  к употреблению усилительных ходов в виде упрека, угрозы или критики в случае признания высказывания адресанта 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неуместным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 (15% – рус., 10% – англ.).  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Англоязычные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ведут себя вежливее, обращаясь с просьбой к людям старшим по возрасту, статусу, а также к партнеру противоположного </w:t>
      </w:r>
      <w:r w:rsidRPr="00606243">
        <w:rPr>
          <w:rFonts w:ascii="Times New Roman" w:hAnsi="Times New Roman" w:cs="Times New Roman"/>
          <w:sz w:val="28"/>
          <w:szCs w:val="28"/>
        </w:rPr>
        <w:lastRenderedPageBreak/>
        <w:t xml:space="preserve">пола, что проявляется в несколько более частом  использовании в речи реплик–дисклеймеров (10% – англ., 6% – 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.).  Зачастую запрос англичан на осуществление коммуникации является 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>более развернутым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, а число подготовительных ходов – более высоким (как правило, используются 2–3 реплики, обеспечивающие успешное вступление в диалог). 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Такой компонент линейной структуры, как настаивание на уместности, в большей мере востребован в русскоязычном корпусе исследуемых контекстов (15% – рус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10% – англ.) в ситуации расхождения взглядов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, как правило, по вопросу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темпоральной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локативной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уместности осуществления того либо иного речевого действия.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>Интерес вызывает и тот факт, что востребованным средством смягчения неуместности в трех анализируемых выборках является употребление мотивировок различных типов (25% – рус</w:t>
      </w:r>
      <w:proofErr w:type="gramStart"/>
      <w:r w:rsidRPr="006062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6243">
        <w:rPr>
          <w:rFonts w:ascii="Times New Roman" w:hAnsi="Times New Roman" w:cs="Times New Roman"/>
          <w:sz w:val="28"/>
          <w:szCs w:val="28"/>
        </w:rPr>
        <w:t xml:space="preserve">22% – англ.). При этом русскоязычные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чаще прибегают к использованию практико-ориентированных мотивировок (15% русскоязычного корпуса), в то время как  англоязычные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примерно в равной степени используют в речи все виды мотивировок.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</w:rPr>
        <w:t xml:space="preserve">Подводя итог, следует отметить, что проведенный анализ позволил выявить как сходства, так и отличия в структурной репрезентации контекстов уместности в английском и русском языках. Первые проявляются в структурной сложности в обеих выборках контекстов тематической и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-ролевой уместности, вторые – в разной востребованности тех или иных компонентов линейной структуры в исследуемых языках. При этом исследование коммуникативных контекстов, в которых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вербализуются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различные виды уместности, на материале разных языков представляется актуальным с точки зрения обеспечения межкультурного понимания.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43">
        <w:rPr>
          <w:rFonts w:ascii="Times New Roman" w:hAnsi="Times New Roman" w:cs="Times New Roman"/>
          <w:sz w:val="28"/>
          <w:szCs w:val="28"/>
        </w:rPr>
        <w:t>Литература</w:t>
      </w:r>
    </w:p>
    <w:p w:rsidR="0060624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4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0624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06243">
        <w:rPr>
          <w:rFonts w:ascii="Times New Roman" w:hAnsi="Times New Roman" w:cs="Times New Roman"/>
          <w:sz w:val="28"/>
          <w:szCs w:val="28"/>
          <w:lang w:val="en-US"/>
        </w:rPr>
        <w:t>Fetzer</w:t>
      </w:r>
      <w:proofErr w:type="spellEnd"/>
      <w:r w:rsidRPr="00606243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606243">
        <w:rPr>
          <w:rFonts w:ascii="Times New Roman" w:hAnsi="Times New Roman" w:cs="Times New Roman"/>
          <w:sz w:val="28"/>
          <w:szCs w:val="28"/>
          <w:lang w:val="en-US"/>
        </w:rPr>
        <w:t>Recontextualizing</w:t>
      </w:r>
      <w:proofErr w:type="spellEnd"/>
      <w:r w:rsidRPr="00606243">
        <w:rPr>
          <w:rFonts w:ascii="Times New Roman" w:hAnsi="Times New Roman" w:cs="Times New Roman"/>
          <w:sz w:val="28"/>
          <w:szCs w:val="28"/>
          <w:lang w:val="en-US"/>
        </w:rPr>
        <w:t xml:space="preserve"> context: grammaticality meets appropriateness / A. </w:t>
      </w:r>
      <w:proofErr w:type="spellStart"/>
      <w:r w:rsidRPr="00606243">
        <w:rPr>
          <w:rFonts w:ascii="Times New Roman" w:hAnsi="Times New Roman" w:cs="Times New Roman"/>
          <w:sz w:val="28"/>
          <w:szCs w:val="28"/>
          <w:lang w:val="en-US"/>
        </w:rPr>
        <w:t>Fetzer</w:t>
      </w:r>
      <w:proofErr w:type="spellEnd"/>
      <w:r w:rsidRPr="0060624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606243">
        <w:rPr>
          <w:rFonts w:ascii="Times New Roman" w:hAnsi="Times New Roman" w:cs="Times New Roman"/>
          <w:sz w:val="28"/>
          <w:szCs w:val="28"/>
          <w:lang w:val="en-US"/>
        </w:rPr>
        <w:t>Amsterdam :</w:t>
      </w:r>
      <w:proofErr w:type="gramEnd"/>
      <w:r w:rsidRPr="0060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6243">
        <w:rPr>
          <w:rFonts w:ascii="Times New Roman" w:hAnsi="Times New Roman" w:cs="Times New Roman"/>
          <w:sz w:val="28"/>
          <w:szCs w:val="28"/>
          <w:lang w:val="en-US"/>
        </w:rPr>
        <w:t>Benjamins</w:t>
      </w:r>
      <w:proofErr w:type="spellEnd"/>
      <w:r w:rsidRPr="00606243">
        <w:rPr>
          <w:rFonts w:ascii="Times New Roman" w:hAnsi="Times New Roman" w:cs="Times New Roman"/>
          <w:sz w:val="28"/>
          <w:szCs w:val="28"/>
          <w:lang w:val="en-US"/>
        </w:rPr>
        <w:t xml:space="preserve">, 2004. – 267 p. </w:t>
      </w:r>
    </w:p>
    <w:p w:rsidR="00AD3FC3" w:rsidRPr="00606243" w:rsidRDefault="00606243" w:rsidP="00606243">
      <w:pPr>
        <w:jc w:val="both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06243">
        <w:rPr>
          <w:rFonts w:ascii="Times New Roman" w:hAnsi="Times New Roman" w:cs="Times New Roman"/>
          <w:sz w:val="28"/>
          <w:szCs w:val="28"/>
          <w:lang w:val="en-US"/>
        </w:rPr>
        <w:tab/>
        <w:t xml:space="preserve">Overstreet, M. Formulaic disclaimers / M. Overstreet, G. Yule // Journal of Pragmatics. – 2001. – Vol. 33. </w:t>
      </w:r>
      <w:r w:rsidRPr="00606243">
        <w:rPr>
          <w:rFonts w:ascii="Times New Roman" w:hAnsi="Times New Roman" w:cs="Times New Roman"/>
          <w:sz w:val="28"/>
          <w:szCs w:val="28"/>
        </w:rPr>
        <w:t>− P. 45−60.</w:t>
      </w:r>
    </w:p>
    <w:sectPr w:rsidR="00AD3FC3" w:rsidRPr="0060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43"/>
    <w:rsid w:val="00606243"/>
    <w:rsid w:val="00A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2013-10-08T22:15:00Z</dcterms:created>
  <dcterms:modified xsi:type="dcterms:W3CDTF">2013-10-08T22:16:00Z</dcterms:modified>
</cp:coreProperties>
</file>