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9E" w:rsidRPr="00A122D7" w:rsidRDefault="0031699E" w:rsidP="0031699E">
      <w:pPr>
        <w:pStyle w:val="a6"/>
        <w:outlineLvl w:val="0"/>
      </w:pPr>
      <w:bookmarkStart w:id="0" w:name="_Toc360279117"/>
      <w:bookmarkStart w:id="1" w:name="_Toc360281419"/>
      <w:bookmarkStart w:id="2" w:name="_Toc360295380"/>
      <w:bookmarkStart w:id="3" w:name="_Toc360297325"/>
      <w:bookmarkStart w:id="4" w:name="_Toc360299205"/>
      <w:r w:rsidRPr="00A122D7">
        <w:t>МЕТАФОРИЧЕСКИЕ ОБРАЗЫ В РУССКОМ, ПОЛЬСКОМ И АНГЛИЙСКОМ КРИМИНАЛЬНОМ АРГО</w:t>
      </w:r>
      <w:bookmarkEnd w:id="0"/>
      <w:bookmarkEnd w:id="1"/>
      <w:bookmarkEnd w:id="2"/>
      <w:bookmarkEnd w:id="3"/>
      <w:bookmarkEnd w:id="4"/>
    </w:p>
    <w:p w:rsidR="0031699E" w:rsidRPr="00A122D7" w:rsidRDefault="0031699E" w:rsidP="0031699E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Булаш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Ю.М.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С появлением когнитивной теории метафоры [1] метафора рассматривается как концептуальный механизм, как </w:t>
      </w:r>
      <w:r w:rsidRPr="00A122D7">
        <w:rPr>
          <w:rFonts w:ascii="Times New Roman" w:hAnsi="Times New Roman" w:cs="Times New Roman"/>
          <w:iCs/>
          <w:color w:val="auto"/>
          <w:sz w:val="28"/>
          <w:szCs w:val="28"/>
        </w:rPr>
        <w:t>способ понимания одной области через призму другой, как перенос из области-источника в область-мишень [2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 данной статье рассматриваются метафорические образы, которые лежат в основе фразеологических единств русского, польского и английского криминального арго и тем самым являются мотивационной базой этих фразеологизмов [3].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Изучению концептуальной метафоры во фразеологии литературного языка посвящено большое количество исследований. Работы Р.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Джибса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и его коллег направлены на изучение метафорической мотивации идиоматических выражений [4, 5, 6, 7]. Исследования фразеологических концептов также проводились российскими учеными [8, 9, 10]. В начале 21 века внимание лингвистов было направлено на анализ фразеологии литературного языка в межъязыковом (сравнительном) аспекте [11, 12].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Фразеологии же социальных подсистем языка, таких, как криминальное арго или молодежный сленг, практически не подвергались исследованию с помощью инструментария когнитивной теории метафоры.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Наша цель – выявление образов, мотивирующих фразеологизмы криминального арго в трех языках: русском, польском и английском – и сравнительный анализ этих образов.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Объектом исследования послужили группы фразеологических единств русского, польского и английского криминального арго со значениями: </w:t>
      </w:r>
      <w:bookmarkStart w:id="5" w:name="OLE_LINK1"/>
      <w:bookmarkStart w:id="6" w:name="OLE_LINK2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‘арестовывать’ </w:t>
      </w:r>
      <w:bookmarkEnd w:id="5"/>
      <w:bookmarkEnd w:id="6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(20 номинаций), ‘обманывать’ (36 номинаций), ‘убегать’ (51 номинация), ‘умирать’ (18 номинаций). Фразеологические единства отбирались из [13, 14, 15]. Выбор этих значений обусловлен наличием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большого количества фразеологических единств, имеющихся в лексиконе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арготирующих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для обозначения концептов АРЕСТ, ОБМАН, БЕГСТВО, СМЕРТЬ.  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В ходе сравнения образов, на основе которых были созданы арготические фразеологизмы со значением ‘арестовывать’ в трех языках (по 7 номинаций в русском и польском криминальном арго, 6 номинаций в английском криминальном арго</w:t>
      </w:r>
      <w:r w:rsidRPr="00A122D7">
        <w:rPr>
          <w:rStyle w:val="a3"/>
          <w:rFonts w:ascii="Times New Roman" w:hAnsi="Times New Roman"/>
          <w:color w:val="auto"/>
          <w:sz w:val="28"/>
          <w:szCs w:val="28"/>
        </w:rPr>
        <w:footnoteReference w:id="1"/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), мы обнаружили следующее: 3 фразеологизма РКА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дать сухари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сплести лапти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бросить в торбу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), 3 фразеологизма АКА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hit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pit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попасть в яму,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drop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bucket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бросить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в ведро и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take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a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fall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упасть) и 1 фразеологизм ПКА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w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dołek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wpaść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упасть в яму) имеют общую концептуальную метафору-основу, мотивирующую их значения.  Эта метафора – АРЕСТ – это УХУДШЕНИЕ ЖИЗНИ.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Если рассмотреть образы, на основе которых были созданы данные фразеологизмы, их можно разделить на 2 группы: фразеологические единицы с внутренней картинкой обеспечения преступника вещами, характеризующими скудность, бедность существования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дать сухари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сплести лапти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), и фразеологические единицы с образом падения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бросить в торбу,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hit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pit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попасть в яму,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drop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bucket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бросить в ведро,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take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a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fall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упасть,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w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do</w:t>
      </w:r>
      <w:proofErr w:type="gram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ł</w:t>
      </w:r>
      <w:proofErr w:type="gram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ek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wpaść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упасть в яму).</w:t>
      </w:r>
      <w:proofErr w:type="gramEnd"/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Как видим, у русск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польско- и англоговорящих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арготирующих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представления о аресте сходятся: преступники ассоциируют арест со значительным ухудшением качества жизни и падением. Однако «универсальность» картины мира преступников, говорящих на разных языках, весьма относительна.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Так, например, лишь носители РКА и АКА видят арест как закрепление, фиксацию. 3 фразеологические единицы РКА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накинуть петлю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сесть на вилы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намотать чалму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 и 2 фразеологические единицы АКА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put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claw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on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sb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положить коготь на к.-л.,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feel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someone's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collar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прикоснуться к ч.-л. воротнику) мотивированы концептуальной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метафорой АРЕСТ – это ФИКСАЦИЯ.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Фразеологических единиц, мотивированных подобным образом, в ПКА не оказалось. Как показало исследование, фразеологизмы ПКА со значением ‘арестовывать’ имеют мотивирующие основы, отражающие особый взгляд польского преступника на такое явление, как арест. Для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арготирующего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на польском языке АРЕСТ – это:</w:t>
      </w:r>
    </w:p>
    <w:p w:rsidR="0031699E" w:rsidRPr="00A122D7" w:rsidRDefault="0031699E" w:rsidP="0031699E">
      <w:pPr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ПЛАТА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frycowe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zapłacić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заплатить за неопытность);</w:t>
      </w:r>
    </w:p>
    <w:p w:rsidR="0031699E" w:rsidRPr="00A122D7" w:rsidRDefault="0031699E" w:rsidP="0031699E">
      <w:pPr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ОГРАНИЧЕНИЕ ПРОСТРАНСТВА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iść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do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pudła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идти в коробку);</w:t>
      </w:r>
    </w:p>
    <w:p w:rsidR="0031699E" w:rsidRPr="00A122D7" w:rsidRDefault="0031699E" w:rsidP="0031699E">
      <w:pPr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ПОКОЙ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iść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na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spoczynek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идти на отдых).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сравнения образов, на основе которых были созданы арготические фразеологизмы со значением ‘убегать’ в трех языках (19 номинаций в РКА и ПКА и 13 номинаций в АКА), мы обнаружили следующее:  4 фразеологизма РКА, 3 фразеологизма АКА и 1 фразеологизм ПКА образованы на основе одной концептуальной метафоры – БЕГСТВО – это ВЫХОД НА ПРИРОДУ: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идти на муравушку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идти на траву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слушать кукушку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уйти в сторону моря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ake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air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выходить на воздух,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hang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on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limb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повесить ч.-л. на ветвь,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hang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on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bush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повесить ч.-л. на куст,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iść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na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trawę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идти на траву.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Дальнейший анализ арготических фразеологизмов со значением ‘убегать’ в трех языках показал, что отношение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арготирующих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к такому явлению, как бегство, разное. Так, например, для русск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польскоговорящих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преступников БЕГСТВО – это:</w:t>
      </w:r>
    </w:p>
    <w:p w:rsidR="0031699E" w:rsidRPr="00A122D7" w:rsidRDefault="0031699E" w:rsidP="0031699E">
      <w:pPr>
        <w:widowControl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ОСЛОЖНЕННОЕ ДЕЙСТВИЕ, НАНОСЯЩЕЕ УЩЕРБ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УБЕГАЮЩЕМУ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хромать на полусогнутых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когти рвать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заломить рога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рвать болты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рога ломать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urżnąć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gwinta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отрезать винт);</w:t>
      </w:r>
    </w:p>
    <w:p w:rsidR="0031699E" w:rsidRPr="00A122D7" w:rsidRDefault="0031699E" w:rsidP="0031699E">
      <w:pPr>
        <w:widowControl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ПОВОРОТ СПИНОЙ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пятки показать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dać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tyły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показать хвосты);</w:t>
      </w:r>
    </w:p>
    <w:p w:rsidR="0031699E" w:rsidRPr="00A122D7" w:rsidRDefault="0031699E" w:rsidP="0031699E">
      <w:pPr>
        <w:widowControl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НОВАЯ ЖИЗНЬ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менять судьбу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dawać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dolę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давать долю).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Некоторые фразеологизмы РКА и АКА также обладают одинаковой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мотивирующей концептуальной основой. Так, у фразеологизмов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совершить полет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a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bird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has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flown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(птица улетела)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образная составляющая – это концептуальная метафора БЕГСТВО – это ПОЛЕТ, а у фразеологизмов от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фонаря двинуть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go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over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hill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(перейти на обратную сторону холма) – БЕГСТВО – это УДАЛЕНИЕ ОТ ОБЪЕКТА.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И, наконец, в РКА, ПКА и АКА есть набор уникальных мотивирующих основ для фразеологических единиц. В РКА это концептуальная метафора БЕГСТВО – это УСТРАНЕНИЕ ПРЕПЯТСТВИЯ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смотать узды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 и БЕГСТВО – это ПОДСТЕГИВАНИЕ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купить плеть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дать плеть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нарезать плеть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). В ПКА это метафоры БЕГСТВО – это ШАЛОСТЬ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figla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zrobić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сделать шалость), БЕГСТВО – это ИСКУССТВО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fugę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zrobić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сделать фугу).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В АКА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фразеологизмы со значением ‘убегать’ мотивированы метафорами БЕГСТВО – это УДАР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punch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ударить) и УБЕЖАТЬ – это ОСТАВИТЬ ПРЕДМЕТЫ БЫТА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leave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sb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bucket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оставить к.-л. ведро).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 ходе сравнения образных основ фразеологизмов РКА, ПКА и АКА со значением ‘обманывать’ единых концептуальных метафор для трех языков обнаружено не было. Однако для фразеологизмов РКА и ПКА едиными являются следующие метафоры: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ОБМАН – это ИСКУССТВО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плести кружева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наплести лапти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подковать козу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wstawiać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bajer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/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bajerek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вставить вычурную деталь), ОБМАН – это ЗАТРУДНЕНИЕ ВОСПРИЯТИЯ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наступить на уши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стереть очки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puszczać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dymy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пускать дым), ОБМАН – это ФИКСАЦИЯ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забить гвоздь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загнуть туфлю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ciemnotę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ściskać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сжимать темноту), ОБМАН – это ДОБАВЛЕНИЕ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подвесить бороду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пришить бороду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dolewać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z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kitem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подливать замазку).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У фразеологизмов РКА и АКА есть всего одна общая метафора: ОБМАН – это НАСИЛИЕ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толкнуть черемуху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throw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over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bridge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перебросить через мост). Фразеологизмы РКА обладают уникальными образными основами, которые отражают взгляд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русскоговорящего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арготирующего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на мир.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Это концептуальные метафоры ОБМАН – это ДВИЖЕНИЕ ПО КРУГУ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восьмерку крутить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колеса крутить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крутить вола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прокатить прокрутку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вола вертеть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пуговку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крутить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 и ОБМАН – это ПРИЧИНЕНИЕ УЩЕРБА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сделать бедным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залить галоши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Ряд фразеологизмов АКА мотивирован метафорой ОБМАН – это ПОМЕЩЕНИЕ ВО ВМЕСТИЛИЩЕ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put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in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the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bucket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положить в ведро,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put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in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the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garden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положить в сад,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put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in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the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hole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положить в дыру,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put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in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the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well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положить в колодец).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В ходе сравнения фразеологизмов РКА, ПКА и АКА со значением ‘умирать’ было обнаружено, что в их основе лежат абсолютно разные образы. Фразеологизмы РКА мотивированы следующими концептуальными метафорами. СМЕРТЬ – это</w:t>
      </w:r>
    </w:p>
    <w:p w:rsidR="0031699E" w:rsidRPr="00A122D7" w:rsidRDefault="0031699E" w:rsidP="0031699E">
      <w:pPr>
        <w:widowControl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ПУТЕВКА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получить путевку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31699E" w:rsidRPr="00A122D7" w:rsidRDefault="0031699E" w:rsidP="0031699E">
      <w:pPr>
        <w:widowControl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ДОСРОЧНОЕ ОСВОБОЖДЕНИЕ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освободиться досрочно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31699E" w:rsidRPr="00A122D7" w:rsidRDefault="0031699E" w:rsidP="0031699E">
      <w:pPr>
        <w:widowControl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ОТБРАСЫВАНИЕ НЕНУЖНОГО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копыта отбросить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отдать концы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отбросить лыжи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откинуть кони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откинуть тапочки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шаркнуть кони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шаркнуть коньки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шаркнуть хвостом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завернуть ласты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кинуть хвост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откинуть копыта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).</w:t>
      </w:r>
      <w:proofErr w:type="gramEnd"/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 ПКА и АКА было найдено по 1 фразеологизму. Фразеологизм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do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lali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pójść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(пойти к женщине) мотивирован метафорой СМЕРТЬ – это ПУТЕШЕСТВИЕ, фразеологизм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leg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(убежать) – метафорой СМЕРТЬ – это ПОБЕГ.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Разное количество фразеологизмов с рассматриваемым значением в РКА, ПКА, АКА и непересекающиеся образные основы говорят о различном отношении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арготирующих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к смерти: в мире русскоговорящих преступников смерти уделяется больше внимания, она видится как досрочное освобождение, как отбрасывание ненужного. Для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польскоговорящих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преступников смерть – это путешествие, дорога, русскоговорящие  преступники сравнивают смерть  с побегом.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сравнительный анализ образов, мотивирующих фразеологические единства со значениями ‘арестовывать’, ‘обманывать’, ‘убегать’, ‘умирать’ в языковых подсистемах трех языков, показал лишь частичное совпадение языковых картин мира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арготирующих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говорящих на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русском, польском и английском языках. Специфичность образных мотивов фразеологизмов РКА, ПКА и АКА доказывает несовпадение фрагментов языковой картины мира русск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польско- и англоговорящих преступников. </w:t>
      </w:r>
    </w:p>
    <w:p w:rsidR="0031699E" w:rsidRPr="00A122D7" w:rsidRDefault="0031699E" w:rsidP="0031699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Литература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Лакофф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, Дж.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Метафоры, которыми мы живем / Дж.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Лакофф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, М.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Джонсон. – 2-е изд. – М.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URSS : ЛКИ, 2008. – 252 [2] с.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Пименова, М.В.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Принципы категоризации и концептуализации мира / М.В. Пименова //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Studia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Linguistica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Cognitiva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. – 2006. – № 1. – С. 172–186.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Булаш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, Ю.М.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Образная мотивация фразеологизмов арго / Ю.М.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Булаш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// Вестник Минск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>ос. лингв. ун-та. Сер. Филология. – 2010. – № 1 (44). – С. 7–15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Gibbs, R.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Idioms and mental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imagery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The metaphorical motivation for idiomatic meaning / R. Gibbs, J. O’Brien // Cognition. – 1990. – № 36. – P. 35–68. 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Nayak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, N.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Conceptual knowledge in the interpretation of idioms / N. 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Nayak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R. Gibbs // Journal of Experimental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Psychology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General. – 1990. – Vol. 119, № 3. – P. 315–330. 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Gibbs, R.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Why idioms mean what they do / R. Gibbs, N.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Nayak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// Journal of Experimental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Psychology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General. – 1991. – Vol. 120, № 1. – P. 93–95.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Gibbs, R.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Idiomaticity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and human cognition / R. Gibbs //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Idioms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Structural and Psychological Perspectives / M.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Everaert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[et al.]; A. Schenk &amp; R.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Schreuder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(Eds.). – N.J., 1995. – P. 97–116.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Добровольский, Д.О.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Образная составляющая в семантике идиом / Д.О. Добровольский // Вопросы языкознания. – 1996. – № 1. – С. 71–93.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Филипенко, Т.В.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Внутренняя форма идиом в когнитивной перспективе / Т.В. Филипенко // Вестник МГУ. Сер. 19, Лингвистика и межкультурная коммуникация. – 2001. – № 4. – С. 82–96. 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Булынина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М.М.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Абстрактные фразеологические концепты с глаголом «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to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carry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» / М.М.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Булынина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// Международный конгресс по когнитивной лингвистике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Сб. м-лов / Федеральное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агенство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по образованию, Ин-т языкознания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>ос. Академии наук; отв. ред. Н.Н. Болдырев. – Тамбов, 2008. – С. 155–157.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Piirainen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, E.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Europeanism, internationalism or something else? Proposal for a cross-linguistic and cross-cultural research project on wide-spread idioms in Europe and beyond / E.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Piirainen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// Journal of Linguistics. – 2005. – № 35. –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P. 45–75. 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Soriano, C.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Some Anger Metaphors in Spanish and English. A Contrastive Review / C. Soriano // International Journal of English Studies. – 2003. – Vol. 3, №2. – P. 107–122.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Бурик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, В.И.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Жаргон преступников / В.И.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Бурик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В.Г.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Шелестюк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. – Киев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НИиРИО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1979. – 406 с. 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pl-PL"/>
        </w:rPr>
        <w:t>Stępniak, K.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pl-PL"/>
        </w:rPr>
        <w:t xml:space="preserve"> Słownik tajemnych gwar przestępczych / K. Stępniak. – Londyn : Puls, 1993. – 735 s. </w:t>
      </w:r>
    </w:p>
    <w:p w:rsidR="0031699E" w:rsidRPr="00A122D7" w:rsidRDefault="0031699E" w:rsidP="0031699E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Green, J.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Cassell’s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Dictionary of Slang / J. Green. –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London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Cassell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&amp; Co, 2002. – 1316 p. </w:t>
      </w:r>
    </w:p>
    <w:p w:rsidR="00B7585B" w:rsidRPr="0031699E" w:rsidRDefault="00B7585B">
      <w:pPr>
        <w:rPr>
          <w:lang w:val="en-US"/>
        </w:rPr>
      </w:pPr>
      <w:bookmarkStart w:id="7" w:name="_GoBack"/>
      <w:bookmarkEnd w:id="7"/>
    </w:p>
    <w:sectPr w:rsidR="00B7585B" w:rsidRPr="0031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C1" w:rsidRDefault="00ED57C1" w:rsidP="0031699E">
      <w:r>
        <w:separator/>
      </w:r>
    </w:p>
  </w:endnote>
  <w:endnote w:type="continuationSeparator" w:id="0">
    <w:p w:rsidR="00ED57C1" w:rsidRDefault="00ED57C1" w:rsidP="0031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C1" w:rsidRDefault="00ED57C1" w:rsidP="0031699E">
      <w:r>
        <w:separator/>
      </w:r>
    </w:p>
  </w:footnote>
  <w:footnote w:type="continuationSeparator" w:id="0">
    <w:p w:rsidR="00ED57C1" w:rsidRDefault="00ED57C1" w:rsidP="0031699E">
      <w:r>
        <w:continuationSeparator/>
      </w:r>
    </w:p>
  </w:footnote>
  <w:footnote w:id="1">
    <w:p w:rsidR="0031699E" w:rsidRDefault="0031699E" w:rsidP="0031699E">
      <w:pPr>
        <w:pStyle w:val="a4"/>
        <w:jc w:val="both"/>
      </w:pPr>
      <w:r>
        <w:rPr>
          <w:rStyle w:val="a3"/>
        </w:rPr>
        <w:footnoteRef/>
      </w:r>
      <w:r>
        <w:t xml:space="preserve"> Далее вводятся обозначения: РКА – русское криминальное арго, ПКА – польское криминальное арго, АКА – английское криминальное арго.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3FE"/>
    <w:multiLevelType w:val="hybridMultilevel"/>
    <w:tmpl w:val="98B4AC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1D9713E"/>
    <w:multiLevelType w:val="hybridMultilevel"/>
    <w:tmpl w:val="4B00A1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58222A4"/>
    <w:multiLevelType w:val="hybridMultilevel"/>
    <w:tmpl w:val="2DD82BDC"/>
    <w:lvl w:ilvl="0" w:tplc="C9427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3E68B4"/>
    <w:multiLevelType w:val="hybridMultilevel"/>
    <w:tmpl w:val="28C0D8D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9E"/>
    <w:rsid w:val="0031699E"/>
    <w:rsid w:val="00B7585B"/>
    <w:rsid w:val="00E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9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"/>
    <w:basedOn w:val="a"/>
    <w:next w:val="a"/>
    <w:rsid w:val="0031699E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character" w:styleId="a3">
    <w:name w:val="footnote reference"/>
    <w:semiHidden/>
    <w:rsid w:val="0031699E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31699E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be-BY" w:eastAsia="be-BY"/>
    </w:rPr>
  </w:style>
  <w:style w:type="character" w:customStyle="1" w:styleId="a5">
    <w:name w:val="Текст сноски Знак"/>
    <w:basedOn w:val="a0"/>
    <w:link w:val="a4"/>
    <w:semiHidden/>
    <w:rsid w:val="0031699E"/>
    <w:rPr>
      <w:rFonts w:ascii="Times New Roman" w:eastAsia="Calibri" w:hAnsi="Times New Roman" w:cs="Times New Roman"/>
      <w:sz w:val="20"/>
      <w:szCs w:val="20"/>
      <w:lang w:val="be-BY" w:eastAsia="be-BY"/>
    </w:rPr>
  </w:style>
  <w:style w:type="paragraph" w:customStyle="1" w:styleId="a6">
    <w:name w:val="Ст для"/>
    <w:basedOn w:val="4"/>
    <w:link w:val="a7"/>
    <w:qFormat/>
    <w:rsid w:val="0031699E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7">
    <w:name w:val="Ст для Знак"/>
    <w:basedOn w:val="40"/>
    <w:link w:val="a6"/>
    <w:rsid w:val="0031699E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69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9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"/>
    <w:basedOn w:val="a"/>
    <w:next w:val="a"/>
    <w:rsid w:val="0031699E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character" w:styleId="a3">
    <w:name w:val="footnote reference"/>
    <w:semiHidden/>
    <w:rsid w:val="0031699E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31699E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be-BY" w:eastAsia="be-BY"/>
    </w:rPr>
  </w:style>
  <w:style w:type="character" w:customStyle="1" w:styleId="a5">
    <w:name w:val="Текст сноски Знак"/>
    <w:basedOn w:val="a0"/>
    <w:link w:val="a4"/>
    <w:semiHidden/>
    <w:rsid w:val="0031699E"/>
    <w:rPr>
      <w:rFonts w:ascii="Times New Roman" w:eastAsia="Calibri" w:hAnsi="Times New Roman" w:cs="Times New Roman"/>
      <w:sz w:val="20"/>
      <w:szCs w:val="20"/>
      <w:lang w:val="be-BY" w:eastAsia="be-BY"/>
    </w:rPr>
  </w:style>
  <w:style w:type="paragraph" w:customStyle="1" w:styleId="a6">
    <w:name w:val="Ст для"/>
    <w:basedOn w:val="4"/>
    <w:link w:val="a7"/>
    <w:qFormat/>
    <w:rsid w:val="0031699E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7">
    <w:name w:val="Ст для Знак"/>
    <w:basedOn w:val="40"/>
    <w:link w:val="a6"/>
    <w:rsid w:val="0031699E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69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2013-10-18T11:45:00Z</dcterms:created>
  <dcterms:modified xsi:type="dcterms:W3CDTF">2013-10-18T11:51:00Z</dcterms:modified>
</cp:coreProperties>
</file>