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46" w:rsidRPr="00A122D7" w:rsidRDefault="00840346" w:rsidP="00840346">
      <w:pPr>
        <w:pStyle w:val="a3"/>
        <w:outlineLvl w:val="0"/>
      </w:pPr>
      <w:bookmarkStart w:id="0" w:name="_Toc360279116"/>
      <w:bookmarkStart w:id="1" w:name="_Toc360281418"/>
      <w:bookmarkStart w:id="2" w:name="_Toc360295379"/>
      <w:bookmarkStart w:id="3" w:name="_Toc360297324"/>
      <w:bookmarkStart w:id="4" w:name="_Toc360299204"/>
      <w:r w:rsidRPr="00A122D7">
        <w:t>ПРИНЦИП ВЛОЖЕНИЯ СМЫСЛОВ В ГРАММАТИКЕ ПАНИНИ</w:t>
      </w:r>
      <w:bookmarkEnd w:id="0"/>
      <w:bookmarkEnd w:id="1"/>
      <w:bookmarkEnd w:id="2"/>
      <w:bookmarkEnd w:id="3"/>
      <w:bookmarkEnd w:id="4"/>
    </w:p>
    <w:p w:rsidR="00840346" w:rsidRPr="00A122D7" w:rsidRDefault="00840346" w:rsidP="00840346">
      <w:pPr>
        <w:tabs>
          <w:tab w:val="left" w:pos="9356"/>
        </w:tabs>
        <w:spacing w:line="360" w:lineRule="auto"/>
        <w:ind w:firstLine="709"/>
        <w:contextualSpacing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Боярин М.Ю.</w:t>
      </w:r>
    </w:p>
    <w:p w:rsidR="00840346" w:rsidRPr="00A122D7" w:rsidRDefault="00840346" w:rsidP="00840346">
      <w:pPr>
        <w:pStyle w:val="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Наиболее авторитетным выражением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вйакараны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традиции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древне-индийской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лингвистики, является труд грамматиста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Панини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(не позднее </w:t>
      </w:r>
      <w:smartTag w:uri="urn:schemas-microsoft-com:office:smarttags" w:element="metricconverter">
        <w:smartTagPr>
          <w:attr w:name="ProductID" w:val="500 г"/>
        </w:smartTagPr>
        <w:r w:rsidRPr="00A122D7">
          <w:rPr>
            <w:rFonts w:ascii="Times New Roman" w:hAnsi="Times New Roman" w:cs="Times New Roman"/>
            <w:color w:val="auto"/>
            <w:sz w:val="28"/>
            <w:szCs w:val="28"/>
            <w:lang w:val="ru-RU"/>
          </w:rPr>
          <w:t>500 г</w:t>
        </w:r>
      </w:smartTag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до н.э.). Основную часть грамматики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Панини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Aṣṭ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ā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dhy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ā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y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ī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) составляют почти 4000 кратких правил (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s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ū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tra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). Правила грамматики предписывают определенные операции, которые исполняются при соответствии случая условиям. Результат правила может быть условием для исполнения следующего правила. Последовательность исполнения правил регулируется особыми метаправилами (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paribh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ā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ṣ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ā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) [15] и отражает образование правильных слов и высказываний санскрита. Грамматика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Панини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представляет собой программу образования языковой формы.</w:t>
      </w:r>
    </w:p>
    <w:p w:rsidR="00840346" w:rsidRPr="00A122D7" w:rsidRDefault="00840346" w:rsidP="00840346">
      <w:pPr>
        <w:pStyle w:val="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Грамматическая система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Панини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состоит из двух уровней - уровня смысла и уровня формы, т.е. семантико-синтаксического и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фонемо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-морфологического уровней [13]. Уровень смысла и уровень формы представлены классами смысла и классами формы, за которыми закреплены соответствующие грамматические термины (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saṃj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ñā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). Отличительной чертой грамматики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Панини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всей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древне-индийской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лингвистической традиции является четкое разграничение смысла и формы, к которому современная западная лингвистика пришла в 20 веке в виде разграничения плана содержания и плана выражения [4].</w:t>
      </w:r>
    </w:p>
    <w:p w:rsidR="00840346" w:rsidRPr="00A122D7" w:rsidRDefault="00840346" w:rsidP="00840346">
      <w:pPr>
        <w:pStyle w:val="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Грамматика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Панини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семантически обусловлена [3, 199]. В правилах грамматики смысловые классы выступают условием для операций над формальными классами. Стандартное правило грамматики можно обобщенно выразить формулой: "При условии определенного смысла должна быть определенная операция с формой". Поскольку правила грамматики исполняются последовательно, их порядок образует также определенную последовательность появления смысловых условий.</w:t>
      </w:r>
    </w:p>
    <w:p w:rsidR="00840346" w:rsidRPr="00A122D7" w:rsidRDefault="00840346" w:rsidP="00840346">
      <w:pPr>
        <w:pStyle w:val="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Поскольку грамматика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Панини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имеет форму программы генерации высказываний, теория смысла в ней не выражена явно, однако может быть реконструирована на основании исследования этой программы. Материал для такого исследования представляют особые метаправила, посвященные смысловым условиям, а также сами смысловые условия и порядок их появления в правилах.</w:t>
      </w:r>
    </w:p>
    <w:p w:rsidR="00840346" w:rsidRPr="00A122D7" w:rsidRDefault="00840346" w:rsidP="00840346">
      <w:pPr>
        <w:pStyle w:val="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Смысловое условие у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Панини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выражается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прежде всего в форме седьмого,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локативного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падежа. Например, правило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striy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ā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m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4.1.3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(буквально - "в женщине"") интерпретируется как "в смысле женщины", т.е. как смысловое условие предписания последующих аффиксов. Есть несколько интерпретаций такого употребления. А.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Кейдан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работе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P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ā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ṇini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1.4.23: </w:t>
      </w:r>
      <w:proofErr w:type="gram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Emendation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proposal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интерпретирует локатив как условие [9].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Эйвинд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Карс в книге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Indian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Semantic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Analysis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: </w:t>
      </w:r>
      <w:proofErr w:type="gram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The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Nirvacana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Tradition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интерпретирует локатив как замещаемое [6].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 нашей точки зрения [16] локатив смысла имеет буквальное значение: смысловой класс является местом, контейнером формы.</w:t>
      </w:r>
    </w:p>
    <w:p w:rsidR="00840346" w:rsidRPr="00A122D7" w:rsidRDefault="00840346" w:rsidP="00840346">
      <w:pPr>
        <w:pStyle w:val="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 другой стороны, в ином контексте смысловое условие также может быть выражено через сложное прилагательное типа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bahuvr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ī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hi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где второй частью сложного слова является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artha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("смысл") или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vacana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("название"). В случае употребления слова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artha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("смысл") термин обозначает синонимы слова, а в случае слова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vacana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("название") - виды рода, обозначаемого словом. Так, термин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gaty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artha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[5, 2.3.12] обозначает корни, имеющие смысл движения, т.е. синонимичные слову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gati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Термин же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guṇa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vacana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[5, 4.1.44] означает не синонимы слова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guṇa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("качество"), а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предствителей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его смысла, т.е. качественные прилагательные.</w:t>
      </w:r>
    </w:p>
    <w:p w:rsidR="00840346" w:rsidRPr="00A122D7" w:rsidRDefault="00840346" w:rsidP="00840346">
      <w:pPr>
        <w:pStyle w:val="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Категории “смысла” и “названия” употребляются для обобщения формальных элементов  посредством определенного смысла. Это формальные элементы, имеющие один смысл (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artha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), либо формальные элементы, чей смысл входит в сферу более общего смыслового класса (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vacana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). В случае же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локативного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смыслового условия соотношение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формальных и смысловых элементов составляет определенную проблему: смысловое условие предписания аффикса может быть интерпретировано и как смысл основы, и как смысл аффикса. Так, смысл настоящего времени в правиле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vartam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ā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ne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laṭ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3.2.123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[11, 3.2.123] может быть интерпретирован как смысл корня, либо как смысл аффикса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laṭ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Во многих случаях соотношения формальных и смысловых элементов далеко не симметричны, так что определить, каким именно смыслом обладает определенная форма, бывает затруднительно. Это составляет системную проблему соотношения смысловых и формальных классов в грамматике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Панини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840346" w:rsidRPr="00A122D7" w:rsidRDefault="00840346" w:rsidP="00840346">
      <w:pPr>
        <w:pStyle w:val="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Отношения смысла и формы могут быть осмыслены как отношения классов и параметров. Перевод грамматики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Панини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модель объектно-ориентированного программирования может быть сделан двояко: либо смыслы могут быть смоделированы как параметры формальных классов, либо форма может быть интерпретирована как параметр смысловых классов. Обычно грамматика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Панини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интерпретируется именно первым способом. Однако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модель такой грамматики может лишь частично и приблизительно передать действие грамматической системы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Панини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Во втором же случае модель способна передать ее действие полностью: не смысл закрепляется за формой корня или аффикса, а форма корня или аффикса оказывается принадлежащей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определнному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смысловому классу. Таким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образом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проблема обладания формой смысла решается через ее переворачивание: это смысл обладает формой, а не форма смыслом. Операция над формой проводится не просто при условии смысла, но скорее вследствие смысла.</w:t>
      </w:r>
    </w:p>
    <w:p w:rsidR="00840346" w:rsidRPr="00A122D7" w:rsidRDefault="00840346" w:rsidP="00840346">
      <w:pPr>
        <w:pStyle w:val="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При интерпретации формы как параметра смысловых классов семантическое условие буквально становится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локативным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условием - т.е. условием содержания смыслового класса. Кроме того, такая интерпретация делает одни смысловые классы содержанием других смысловых классов. В таком случае, при употреблении в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определнном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смысле грамматического элемента, уже обладающего смыслом, происходит вложение одного смыслового класса в другой смысловой класс. Это позволяет выделить в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грамматике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Панини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принцип "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выложения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смыслов", а также шире интерпретировать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локативное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смысловое условие: смысл у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Панини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является не только местом формы, но и местом другого смысла.</w:t>
      </w:r>
    </w:p>
    <w:p w:rsidR="00840346" w:rsidRPr="00A122D7" w:rsidRDefault="00840346" w:rsidP="00840346">
      <w:pPr>
        <w:pStyle w:val="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Последовательность деривации оказывается также последовательностью вложения смысловых классов, которая отражается соответствующими изменениями формы. Так, например, слово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k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ā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raka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образуется от корня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kṛ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("делать") с помощью аффикса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ṇvul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предписываемого в смысле актанта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kartṛ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("деятеля") [5, 3.1.133]. Образование формы седьмого падежа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k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ā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rake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от слова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k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ā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raka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 происходит через добавление аффикса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ṅi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после основы имени в смысле актанта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adhikaraṇa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("места") [5, 2.3.36]. Таким образом, класс деятеля вкладывается в класс места, образуя следующую смысловую структуру -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((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kartṛ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)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adhikaraṇa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)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отраженную на уровне формы как последовательность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(((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kṛ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)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ṇvul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)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ṅi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)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. Такое вложение можно назвать последовательным. Для изображения вложения смыслов мы используем знак скобок.</w:t>
      </w:r>
    </w:p>
    <w:p w:rsidR="00840346" w:rsidRPr="00A122D7" w:rsidRDefault="00840346" w:rsidP="00840346">
      <w:pPr>
        <w:pStyle w:val="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Главными смысловыми классами в грамматике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Панини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являются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караки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или актанты, участники действия: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kartṛ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(деятель),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karman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(объект действия),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karaṇa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(средство действия),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samprad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ā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na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(адресат действия),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ap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ā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d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ā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na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(отправная точка),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adhikaraṇa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(место) [5, 1.4.23]. Действие само по себе называется термином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bh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ā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va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("бытие"). Актантны определяются относительно действия и друг друга и составляют единую смысловую структуру с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бхавой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В случае слова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k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ā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raka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добавление аффикса выделяет актант структуры, смысл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бхавы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которой составляет “делание”. Корень и аффикс в данном случае показывают отношения внутри структуры актантов ("деятель структуры,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бхава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которой - делание"). Для различения отношения принадлежности структуре от отношения вложения мы показываем его фигурными скобками -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((</w:t>
      </w:r>
      <w:r w:rsidRPr="00A122D7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{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karaṇa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)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bh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ā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va</w:t>
      </w:r>
      <w:proofErr w:type="spellEnd"/>
      <w:r w:rsidRPr="00A122D7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}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kartṛ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)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adhikaraṇa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)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 т.е. “деятель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бхавы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делания в смысле места”.</w:t>
      </w:r>
    </w:p>
    <w:p w:rsidR="00840346" w:rsidRPr="00A122D7" w:rsidRDefault="00840346" w:rsidP="00840346">
      <w:pPr>
        <w:pStyle w:val="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Добавление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taddhita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-аффиксов представляет собой несколько более сложный случай.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Слово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k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ā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rakavat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("обладающий деятелем") образуется от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слова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k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ā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raka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таддхита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-аффиксом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matup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предписываемом в смысле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tad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asya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asmin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v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ā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asti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("это у него есть") [5, 5.2.94].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Здесь аффикс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matup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появляется как параметр класса места (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asmin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), основа же представляет собой смысловой класс деятеля делания (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k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ā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raka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), вложенный в смысловой класс деятеля бытия (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tad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asti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). Это можно представить таким образом: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({(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asti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)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bh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ā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va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({(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karaṇa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)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bh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ā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va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}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kartṛ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)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kartṛ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}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adhikaraṇa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)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"место бытия, деятель которого - деятель делания". Практически все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taddhita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-аффиксы предписываются через конструкцию со словом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tat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(“он, тот”),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соединяя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таким образом две структуры актантов.</w:t>
      </w:r>
    </w:p>
    <w:p w:rsidR="00840346" w:rsidRPr="00A122D7" w:rsidRDefault="00840346" w:rsidP="00840346">
      <w:pPr>
        <w:pStyle w:val="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Кроме последовательного вложения смыслов, отражаемого процессом деривации, у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Панини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можно выделить и вложение, непривязанное к процессу деривации. Речь идет о таких смысловых условиях как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karma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kartari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3.1.62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[5, 3.1.62]. Смысловой класс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karma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kartṛ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означает употребление актанта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karman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("объект действия") в смысле актанта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kartṛ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("деятель"). В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K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āś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ik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ā-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vṛtti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пример приводится фраза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ak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ā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ri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kaṭaḥ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svayam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eva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- "Циновка сделалась сама собой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." [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5, 3.1.62]. В данном случае происходит вложение актанта объекта в актант деятеля -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((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karman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)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kartṛ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)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что не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отражаеется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специальной операцией над формой. Это позволяет выделить в грамматике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Панини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более специфический принцип "вложения актантов".</w:t>
      </w:r>
    </w:p>
    <w:p w:rsidR="00840346" w:rsidRPr="00A122D7" w:rsidRDefault="00840346" w:rsidP="00840346">
      <w:pPr>
        <w:pStyle w:val="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Если отношения актантов в базовой структуре актантов можно назвать горизонтальными, то отношения вложения смыслов имеют вертикально-глубинный порядок. Последовательность деривации, описываемая правилами грамматики, представляет собой последовательность выстраивания вертикальных отношений между актантными структурами, горизонтальные отношения которых даны по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определнию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Формальные же структуры, которые выстраиваются на протяжении процесса деривации, имеют линейный порядок. Таким образом, деривация у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Панини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представляет собой перевод вертикально-глубинного порядка смыслового уровня в линейный порядок уровня формы.</w:t>
      </w:r>
    </w:p>
    <w:p w:rsidR="00840346" w:rsidRPr="00A122D7" w:rsidRDefault="00840346" w:rsidP="00840346">
      <w:pPr>
        <w:pStyle w:val="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Категория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vacana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(название) подразумевает наличие определенного сферического разграничения смыслового пространства. Так,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guṇa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vacana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("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качество-назывные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формы") подразумевает наличие супер-класса “качества” (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guṇa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) и его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суб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-классов (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guṇa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v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ā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cin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). С точки зрения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приниципа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вложения смыслов правила, использующие термин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vacana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должны работать при условии вложения типа: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((белый</w:t>
      </w:r>
      <w:proofErr w:type="gramStart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)к</w:t>
      </w:r>
      <w:proofErr w:type="gram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ачество)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. Таким образом, выделение принципа вложения смыслов полностью разрешает поставленную проблему соотношения формальных и смысловых элементов.</w:t>
      </w:r>
    </w:p>
    <w:p w:rsidR="00840346" w:rsidRPr="00A122D7" w:rsidRDefault="00840346" w:rsidP="00840346">
      <w:pPr>
        <w:pStyle w:val="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Выделение принципа вложения смыслов также позволяет распространить на смысловой уровень принципы отношений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antaraṅga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-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bahiraṅga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выделенные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Патанджали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зафиксированные в традиционном метаправиле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asiddham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bahiraṅgam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antaraṅge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("внешне-обусловленное правило должно быть неосуществленным относительно внутренне-обусловленного") [10]. Эти отношения интерпретируется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Дж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.К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ардоной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как принцип “последовательности раскрытия скобок”, т.е. движения изнутри наружу при употреблении правил [2, 412]. В данном случае замена формальных классов на смысловые делает возможной более сложную и полноценную нотацию последовательностей исполнения правил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вйакараны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Обычная нотация ограничивается языковой формой и полностью оставляет за рамками смысловые классы. Нотация вложения смыслов позволила бы одновременно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фиксироваить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смысловые классы и формальные классы как их параметры. </w:t>
      </w:r>
    </w:p>
    <w:p w:rsidR="00840346" w:rsidRDefault="00840346" w:rsidP="00840346">
      <w:pPr>
        <w:pStyle w:val="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Вложение смыслов, и в особенности вложение актантов в соединении с принципом единства актантной структуры составляет принцип соотношения смысловых классов в грамматической системе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Панини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Расширенное применение этих принципов создает основу для построения новой системы формализации семантики, более полно реализуемой нами в проекте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актической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теории смысла.</w:t>
      </w:r>
    </w:p>
    <w:p w:rsidR="00840346" w:rsidRDefault="00840346" w:rsidP="00840346">
      <w:pPr>
        <w:pStyle w:val="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840346" w:rsidRPr="00A122D7" w:rsidRDefault="00840346" w:rsidP="00840346">
      <w:pPr>
        <w:pStyle w:val="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5" w:name="_GoBack"/>
      <w:bookmarkEnd w:id="5"/>
    </w:p>
    <w:p w:rsidR="00840346" w:rsidRPr="00A122D7" w:rsidRDefault="00840346" w:rsidP="00840346">
      <w:pPr>
        <w:pStyle w:val="normal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A122D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Литература</w:t>
      </w:r>
      <w:proofErr w:type="spellEnd"/>
    </w:p>
    <w:p w:rsidR="00840346" w:rsidRPr="00A122D7" w:rsidRDefault="00840346" w:rsidP="00840346">
      <w:pPr>
        <w:pStyle w:val="normal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Cardona, G.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Pāṇini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: A Survey of Research / G. Cardona -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Dehli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Motilal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Banarsidas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>, 1997.</w:t>
      </w:r>
    </w:p>
    <w:p w:rsidR="00840346" w:rsidRPr="00A122D7" w:rsidRDefault="00840346" w:rsidP="00840346">
      <w:pPr>
        <w:pStyle w:val="normal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Cardona, G.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Pāṇini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: His Work and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>It’s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Tradition, Volume One. Second Edition / G. Car­dona -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Dehli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Motilal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Banarsidas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>, 1997.</w:t>
      </w:r>
    </w:p>
    <w:p w:rsidR="00840346" w:rsidRPr="00A122D7" w:rsidRDefault="00840346" w:rsidP="00840346">
      <w:pPr>
        <w:pStyle w:val="normal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Cardona, G. Recent Research in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Pāṇinian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Studies / G. Cardona -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Dehli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Motilal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Banarsidas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>, 1999.</w:t>
      </w:r>
    </w:p>
    <w:p w:rsidR="00840346" w:rsidRPr="00A122D7" w:rsidRDefault="00840346" w:rsidP="00840346">
      <w:pPr>
        <w:pStyle w:val="normal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Hjelmslev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L. Prolegomena to a theory of language / L.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Hjelmslev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- University of Wisconsin Press, 1961.</w:t>
      </w:r>
    </w:p>
    <w:p w:rsidR="00840346" w:rsidRPr="00A122D7" w:rsidRDefault="00840346" w:rsidP="00840346">
      <w:pPr>
        <w:pStyle w:val="normal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Jāyāditya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Vāmana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Kāśikāvṛtti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/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Jāyāditya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Vāmana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- Mode of access: http://gretil.sub.uni-goettingen.de/gretil/1_sanskr/6_sastra/1_gram/jvkasixu.htm. - Date of access: 16.10.2012.</w:t>
      </w:r>
    </w:p>
    <w:p w:rsidR="00840346" w:rsidRPr="00A122D7" w:rsidRDefault="00840346" w:rsidP="00840346">
      <w:pPr>
        <w:pStyle w:val="normal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Kahrs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E. Indian Semantic Analysis: The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Nirvacana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Tradition / E.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Kahrs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- Cambridge: Cambridge University Press, 1998. - Mode of access: http://books.google.by/books?id=Z0_JQXYkG7IC&amp;lpg=PP1&amp;pg=PR11#v=onepage&amp;q&amp;f=false - Date of access: 16.10.2012.</w:t>
      </w:r>
    </w:p>
    <w:p w:rsidR="00840346" w:rsidRPr="00A122D7" w:rsidRDefault="00840346" w:rsidP="00840346">
      <w:pPr>
        <w:pStyle w:val="normal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Kahrs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E. Some observations on the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sthānasambandha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/ E.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Kahrs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// Indian Linguistic Studies: Festschrift in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Honor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of George Cardona -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Dehli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Motilal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Banarsidass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2002. - Mode of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acess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>: http://books.google.by/books?id=aVR0rGVQ8ecC&amp;lpg=PP1&amp;pg=PP1#v=onepage&amp;q&amp;f=false - Date of access: 16.10.2012.</w:t>
      </w:r>
    </w:p>
    <w:p w:rsidR="00840346" w:rsidRPr="00A122D7" w:rsidRDefault="00840346" w:rsidP="00840346">
      <w:pPr>
        <w:pStyle w:val="normal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Katre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S.M.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Aṣṭādhyāyī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of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Pāṇini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/ S.M.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Katre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- Austin: University of Texas Press, 1987.</w:t>
      </w:r>
    </w:p>
    <w:p w:rsidR="00840346" w:rsidRPr="00A122D7" w:rsidRDefault="00840346" w:rsidP="00840346">
      <w:pPr>
        <w:pStyle w:val="normal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Keidan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A.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Pāṇini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1.4.23: Emendation proposal / A.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Keidan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// "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Rivista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di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Studi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Sudasiatici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" (Roma), n. 2 (2007): 209–241 - Mode of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acess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>: www.fupress.net/index.php/rss/article/download/2466/2301 - Date of access: 16.10.2012.</w:t>
      </w:r>
    </w:p>
    <w:p w:rsidR="00840346" w:rsidRPr="00A122D7" w:rsidRDefault="00840346" w:rsidP="00840346">
      <w:pPr>
        <w:pStyle w:val="normal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Nāgeśa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B.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Paribhāṣenduśekharaḥ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/ B.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Nāgeśa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Poone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Ānandāśrama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1913. - Mode of access: -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lastRenderedPageBreak/>
        <w:t>http://ia600202.us.archive.org/11/items/paribhashendusek00nageuoft/paribhashendusek00nageuoft.pdf - Date of access: 16.10.2012.</w:t>
      </w:r>
    </w:p>
    <w:p w:rsidR="00840346" w:rsidRPr="00A122D7" w:rsidRDefault="00840346" w:rsidP="00840346">
      <w:pPr>
        <w:pStyle w:val="normal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Paṭañjali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Vyākaraṇamahābhāṣya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/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Paṭañjali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- Mode of access: http://gretil.sub.uni-goettin­gen.de/gretil/1_sanskr/6_sastra/1_gram/pmbh_1su.htm. - Date of access: 16.10.2012.</w:t>
      </w:r>
    </w:p>
    <w:p w:rsidR="00840346" w:rsidRPr="00A122D7" w:rsidRDefault="00840346" w:rsidP="00840346">
      <w:pPr>
        <w:pStyle w:val="normal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Sharma, R.N.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Tha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Aṣṭādhyāyī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of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Pāṇini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Volumes 1-6/ R.N. Sharma - Delhi: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Mun­shiram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Manoharlal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>, 1990.</w:t>
      </w:r>
    </w:p>
    <w:p w:rsidR="00840346" w:rsidRPr="00A122D7" w:rsidRDefault="00840346" w:rsidP="00840346">
      <w:pPr>
        <w:pStyle w:val="normal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Scharf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P.М. Levels in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Pāṇini's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>Aṣṭādhyāyī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 /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P.M.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Scharf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- Mode of access: http://sanskrit.uohyd.ernet.in/Symposium/papers/scharf.pdf. - Date of access: 16.05.2012.</w:t>
      </w:r>
    </w:p>
    <w:p w:rsidR="00840346" w:rsidRPr="00A122D7" w:rsidRDefault="00840346" w:rsidP="00840346">
      <w:pPr>
        <w:pStyle w:val="normal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Scharf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P.М.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Modeling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Pāṇinian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Grammar Levels / P.M.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Scharf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// Sanskrit Computational Linguistics - New York: Springer, 2009. - Mode of access: http://books.google.by/books?id=t2f1hneiV08C&amp;lpg=PA108&amp;ots=D7qRCQrwTJ&amp;dq=Peter%20Scharf%20artha&amp;pg=PA108#v=onepage&amp;q&amp;f=false. - Date of access: 16.05.2012.</w:t>
      </w:r>
    </w:p>
    <w:p w:rsidR="00840346" w:rsidRPr="00A122D7" w:rsidRDefault="00840346" w:rsidP="00840346">
      <w:pPr>
        <w:pStyle w:val="normal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Wujastyk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D.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Metarules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of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Pāṇinian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Grammar: The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Vyāḍīyaparibhāṣāvṛtti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. Critically Edited with Translation and Commentary / D.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Wujastyk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- Groningen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: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bidi="ar-SA"/>
        </w:rPr>
        <w:t>Forsten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bidi="ar-SA"/>
        </w:rPr>
        <w:t>‌‌, 1993.</w:t>
      </w:r>
    </w:p>
    <w:p w:rsidR="00840346" w:rsidRPr="00A122D7" w:rsidRDefault="00840346" w:rsidP="00840346">
      <w:pPr>
        <w:pStyle w:val="normal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Боярин, М.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Метасемантическое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употребление седьмого падежа в грамматике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Панини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/ М. Боярин // Идеи. Поиски. Решения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: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материалы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VI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Международной научно-практической конференции преподавателей, аспирантов, магистрантов, студентов, Минск, 22 ноября 2012 года. – Минск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: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БГУ, 2013. – 637 с.: табл. –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Библиогр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в конце отд. ст. -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Mode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of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access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: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http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://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elib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bsu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by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>/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handle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/123456789/37545.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Date of access: 10.04.2013.</w:t>
      </w:r>
    </w:p>
    <w:p w:rsidR="00C57C5D" w:rsidRDefault="00C57C5D"/>
    <w:sectPr w:rsidR="00C57C5D" w:rsidSect="00CC02B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01D1B"/>
    <w:multiLevelType w:val="hybridMultilevel"/>
    <w:tmpl w:val="BBECF9D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346"/>
    <w:rsid w:val="00840346"/>
    <w:rsid w:val="00C57C5D"/>
    <w:rsid w:val="00CC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4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3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 Знак Знак5"/>
    <w:basedOn w:val="a"/>
    <w:next w:val="a"/>
    <w:rsid w:val="00840346"/>
    <w:pPr>
      <w:widowControl/>
      <w:spacing w:after="160" w:line="240" w:lineRule="exact"/>
    </w:pPr>
    <w:rPr>
      <w:rFonts w:ascii="Tahoma" w:hAnsi="Tahoma" w:cs="Tahoma"/>
      <w:color w:val="auto"/>
      <w:lang w:val="en-GB" w:eastAsia="en-US"/>
    </w:rPr>
  </w:style>
  <w:style w:type="paragraph" w:customStyle="1" w:styleId="normal">
    <w:name w:val="normal"/>
    <w:rsid w:val="00840346"/>
    <w:pPr>
      <w:spacing w:after="0"/>
    </w:pPr>
    <w:rPr>
      <w:rFonts w:ascii="Arial" w:eastAsia="Times New Roman" w:hAnsi="Arial" w:cs="Arial"/>
      <w:color w:val="000000"/>
      <w:szCs w:val="20"/>
      <w:lang w:val="en-GB" w:eastAsia="en-GB" w:bidi="sa-IN"/>
    </w:rPr>
  </w:style>
  <w:style w:type="paragraph" w:customStyle="1" w:styleId="a3">
    <w:name w:val="Ст для"/>
    <w:basedOn w:val="4"/>
    <w:link w:val="a4"/>
    <w:qFormat/>
    <w:rsid w:val="00840346"/>
    <w:pPr>
      <w:keepLines w:val="0"/>
      <w:widowControl/>
      <w:spacing w:before="240" w:after="60" w:line="360" w:lineRule="auto"/>
      <w:jc w:val="center"/>
    </w:pPr>
    <w:rPr>
      <w:rFonts w:ascii="Times New Roman" w:eastAsia="Times New Roman" w:hAnsi="Times New Roman" w:cs="Times New Roman"/>
      <w:i w:val="0"/>
      <w:iCs w:val="0"/>
      <w:sz w:val="28"/>
      <w:szCs w:val="28"/>
    </w:rPr>
  </w:style>
  <w:style w:type="character" w:customStyle="1" w:styleId="a4">
    <w:name w:val="Ст для Знак"/>
    <w:basedOn w:val="40"/>
    <w:link w:val="a3"/>
    <w:rsid w:val="00840346"/>
    <w:rPr>
      <w:rFonts w:ascii="Times New Roman" w:eastAsia="Times New Roman" w:hAnsi="Times New Roman" w:cs="Times New Roman"/>
      <w:b/>
      <w:bCs/>
      <w:i w:val="0"/>
      <w:iCs w:val="0"/>
      <w:color w:val="4F81BD" w:themeColor="accent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403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4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3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 Знак Знак5"/>
    <w:basedOn w:val="a"/>
    <w:next w:val="a"/>
    <w:rsid w:val="00840346"/>
    <w:pPr>
      <w:widowControl/>
      <w:spacing w:after="160" w:line="240" w:lineRule="exact"/>
    </w:pPr>
    <w:rPr>
      <w:rFonts w:ascii="Tahoma" w:hAnsi="Tahoma" w:cs="Tahoma"/>
      <w:color w:val="auto"/>
      <w:lang w:val="en-GB" w:eastAsia="en-US"/>
    </w:rPr>
  </w:style>
  <w:style w:type="paragraph" w:customStyle="1" w:styleId="normal">
    <w:name w:val="normal"/>
    <w:rsid w:val="00840346"/>
    <w:pPr>
      <w:spacing w:after="0"/>
    </w:pPr>
    <w:rPr>
      <w:rFonts w:ascii="Arial" w:eastAsia="Times New Roman" w:hAnsi="Arial" w:cs="Arial"/>
      <w:color w:val="000000"/>
      <w:szCs w:val="20"/>
      <w:lang w:val="en-GB" w:eastAsia="en-GB" w:bidi="sa-IN"/>
    </w:rPr>
  </w:style>
  <w:style w:type="paragraph" w:customStyle="1" w:styleId="a3">
    <w:name w:val="Ст для"/>
    <w:basedOn w:val="4"/>
    <w:link w:val="a4"/>
    <w:qFormat/>
    <w:rsid w:val="00840346"/>
    <w:pPr>
      <w:keepLines w:val="0"/>
      <w:widowControl/>
      <w:spacing w:before="240" w:after="60" w:line="360" w:lineRule="auto"/>
      <w:jc w:val="center"/>
    </w:pPr>
    <w:rPr>
      <w:rFonts w:ascii="Times New Roman" w:eastAsia="Times New Roman" w:hAnsi="Times New Roman" w:cs="Times New Roman"/>
      <w:i w:val="0"/>
      <w:iCs w:val="0"/>
      <w:sz w:val="28"/>
      <w:szCs w:val="28"/>
    </w:rPr>
  </w:style>
  <w:style w:type="character" w:customStyle="1" w:styleId="a4">
    <w:name w:val="Ст для Знак"/>
    <w:basedOn w:val="40"/>
    <w:link w:val="a3"/>
    <w:rsid w:val="00840346"/>
    <w:rPr>
      <w:rFonts w:ascii="Times New Roman" w:eastAsia="Times New Roman" w:hAnsi="Times New Roman" w:cs="Times New Roman"/>
      <w:b/>
      <w:bCs/>
      <w:i w:val="0"/>
      <w:iCs w:val="0"/>
      <w:color w:val="4F81BD" w:themeColor="accent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403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2118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2013-10-18T11:44:00Z</dcterms:created>
  <dcterms:modified xsi:type="dcterms:W3CDTF">2013-10-18T11:47:00Z</dcterms:modified>
</cp:coreProperties>
</file>