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80" w:lineRule="exact"/>
        <w:ind w:hanging="0" w:left="7060" w:right="0"/>
      </w:pPr>
      <w:r>
        <w:rPr>
          <w:lang w:val="ru-RU"/>
        </w:rPr>
        <w:t>Лидергос Н.В.</w:t>
      </w:r>
    </w:p>
    <w:p>
      <w:pPr>
        <w:pStyle w:val="style35"/>
        <w:keepNext/>
        <w:keepLines/>
        <w:shd w:fill="FFFFFF" w:val="clear"/>
        <w:ind w:hanging="300" w:left="960" w:right="380"/>
      </w:pPr>
      <w:bookmarkStart w:id="0" w:name="bookmark12"/>
      <w:bookmarkEnd w:id="0"/>
      <w:r>
        <w:rPr>
          <w:lang w:val="ru-RU"/>
        </w:rPr>
        <w:t>РОЛЬ АФОРИСТИКИ В ФОРМИРОВАНИИ РОМАННОГО ХРОНОТОПА (на примере романов Кребийона-сына)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lang w:val="ru-RU"/>
        </w:rPr>
        <w:t>Во французской литературе XVII в. сосуществуют два типа романа: экстенсивный (универсальный) и интенсивный (психологический) роман. Универсальный роман характеризуется широтой охвата, это «роман дороги». Согласно М.Бахтину, на дороге «пересекаются в одной временной и пространственной точке пространственные и временные пути многоразличнейших людей - представителей всех сословий, состояний, вероисповеданий, национальностей, возрастов &lt;...&gt; Это точка завязывания и место совершения событий» [1, с.177]. К числу таких романов можно отнести роман М.де Скюдери «Клелия, или Римская история» (1654-1661). С другой стороны, уже с конца XVII в. во Франции стремительно развивается психологическая проза, представленная книгами Ф.Ларошфуко и Ж.Лабрюйера, а также повестью М.Лафайет «Принцесса Клевская» (1678 г.). В психологическом романе количество персонажей гораздо более скромное, авторы стремятся к локализации событий и взамен широты охвата действительности разрабатывают психологию персонажей, углубляясь в исследование тончайших движений человеческой души, используя неизвестные ранее возможности объективного психологического анализа.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Эти тенденции развивались параллельно, не пересекаясь друг с другом. Между тем основная линия развития романа как эпоса частной жизни заключалась в том, чтобы их совместить. Поисками путей синтеза отмечена вся история романа как жанра. Один из них был предложен самым популярным французским писателем эпохи рококо Кребийоном-сыном.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Каким же образом Кребийон решает проблему совмещения локального и универсального в своих романах?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На первый взгляд, романы Кребийона посвящены локальным эпизодам. В «Заблуждениях сердца и ума» описаны несколько недель из жизни молодого человека - Мелькура, который проходит за это время процесс инициации - посвящения в светскую жизнь. В романе мало событий и немного действующих лиц. Действие в «Заблуждениях» локализуется, в основном, в гостиной-салоне. Именно здесь, по словам М.Бахтина, давшего характеристику подобному типу романа, и «происходят встречи, создаются завязки интриг, совершаются часто и развязки, и, наконец, что особенно важно, происходят диалоги, приобретающие исключительное значение в романе, раскрываются характеры, «идеи» и «страсти» героев» [1, с.180]. Роман носит интенсивный характер, поскольку посвящен исследованию внутренних переживаний, которые испытывает главный герой в процессе приобретения своего первого жизненного опыта. Несколько недель из жизни Мелькура, по сути, - это целая жизнь, прожитая в очень концентрированном виде.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В нравоучительной сказке «Софа» автор выводит на сцену 9 пар: лицемерная Фатима и глупый Дахис, распутная Амина и грубый Абдалатиф, добродетельная Фенима и преданный Зулим, благоразумные Альмаида и Моклес, неопытная Зефиса и развратный Мазульхим, хитрая Зулика и Мазульхим, Зулика и сдержанный Заадис, Зулика и разгульный Нассес, неопытные влюбленные Зейниса и Фелеас. Каждая пара является репрезентацией одного из вариантов поведения мужчины и женщины и отношений между ними, и Кребийон предлагает локальное место действия для каждой из этих пар. При кажущейся разветвленности системы персонажей действие в «Софе» ограничено одной сценой - сценой обольщения, которая многократно варьируется в романе.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Отметим, что из 9 пар, выведенных Кребийоном на сцену, лишь 2 из них (Фенима/Зулим и Зейниса/Фелеас) достойны уважения, т.к. наделены такими редкими для того времени качествами, как добродетель, порядочность, сдержанность и рассудительность. Создается впечатление, что писателю нелюбопытно изучать и анализировать подобные отношения, для которых он в романе подбирает название</w:t>
      </w:r>
      <w:r>
        <w:rPr>
          <w:rStyle w:val="style19"/>
          <w:lang w:val="ru-RU"/>
        </w:rPr>
        <w:t xml:space="preserve"> «другие нравы»</w:t>
      </w:r>
      <w:r>
        <w:rPr>
          <w:lang w:val="ru-RU"/>
        </w:rPr>
        <w:t xml:space="preserve"> [4, с.168]. Кребийон сознательно и целенаправленно дифференцирует нравы на «эти» (т.е. недобродетельные) и «другие» (т.е. добродетельные). Устами рассказчика Аманзея автор оповещает читателя о том, что «убедился в существовании порядочных женщин, но не испытал желания снова повстречать одну из них» [4, с.169], и продолжает исследовать те отношения, которые вызывают у него гораздо больший интерес.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Вместе с тем Кребийон осознает необходимость создать более универсальную картину мира. С этой целью в «Заблуждениях» он использует прием «двойного регистра» (по Ж.Руссе, который ввел этот термин, «двойной регистр» - прием, основанный на несовпадении времени повествования о событиях и времени, когда непосредственно происходят эти события), благодаря которому повествование об одном из эпизодов жизни героя осмысливается героем с высоты прожитой жизни и возникает эффект «саморазвития» персонажа и движения времени; в «Софе» - эффект мультипликации.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lang w:val="ru-RU"/>
        </w:rPr>
        <w:t>Кроме того, все конкретные детали в романах убраны в намеки. Причем писатель может намекать как на исторические персоналии (например, в «Софе», упоминая автора «&lt;...&gt;</w:t>
      </w:r>
      <w:r>
        <w:rPr>
          <w:rStyle w:val="style19"/>
          <w:lang w:val="ru-RU"/>
        </w:rPr>
        <w:t xml:space="preserve"> обширной истории Индии, составленной Шейхом-Ибн-Тахиром-Абу-Ферайки»</w:t>
      </w:r>
      <w:r>
        <w:rPr>
          <w:lang w:val="ru-RU"/>
        </w:rPr>
        <w:t xml:space="preserve"> [4, с.150], писатель имеет в виду мусульманского историка Мухаммада Кассема Фериштаха, написавшего «Историю Индии с древнейших времен до 1620 года»); своих современников (фразой</w:t>
      </w:r>
      <w:r>
        <w:rPr>
          <w:rStyle w:val="style19"/>
          <w:lang w:val="ru-RU"/>
        </w:rPr>
        <w:t xml:space="preserve"> «Этого одного было достаточно, чтобы возбудить в нем неистовство»</w:t>
      </w:r>
      <w:r>
        <w:rPr>
          <w:lang w:val="ru-RU"/>
        </w:rPr>
        <w:t xml:space="preserve"> [4, с.179] Кребийон напоминает о произошедшем в Париже в 1730-1731 гг. скандале между актрисой Пеллисье и банкиром Дюлисом); исторические места (Абдалатиф желает упечь Амину</w:t>
      </w:r>
      <w:r>
        <w:rPr>
          <w:rStyle w:val="style21"/>
          <w:lang w:val="ru-RU"/>
        </w:rPr>
        <w:t xml:space="preserve"> «в</w:t>
      </w:r>
      <w:r>
        <w:rPr>
          <w:rStyle w:val="style19"/>
          <w:lang w:val="ru-RU"/>
        </w:rPr>
        <w:t xml:space="preserve"> надежное место»</w:t>
      </w:r>
      <w:r>
        <w:rPr>
          <w:lang w:val="ru-RU"/>
        </w:rPr>
        <w:t xml:space="preserve"> [4, с.179], под которым подразумевается госпиталь Сальпетриер, где непристойных женщин лечили от венерических заболеваний [8, с.358]).</w:t>
      </w:r>
    </w:p>
    <w:p>
      <w:pPr>
        <w:pStyle w:val="style0"/>
        <w:spacing w:line="322" w:lineRule="exact"/>
        <w:ind w:firstLine="280" w:left="0" w:right="20"/>
        <w:jc w:val="both"/>
      </w:pPr>
      <w:r>
        <w:rPr>
          <w:rStyle w:val="style22"/>
          <w:rFonts w:eastAsia="Arial Unicode MS"/>
          <w:i w:val="false"/>
          <w:iCs w:val="false"/>
          <w:lang w:val="ru-RU"/>
        </w:rPr>
        <w:t>В «Заблуждениях» вся конкретика также тщательно скрыта. Например, в высказывании Кребийона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«Женщине легче прощают судейского, чем какого-нибудь полковника, а ежели дама претендует на безупречную добродетель, то первый еще сойдет, а второй - ни-ни; а когда пятидесятилетняя женщина компрометирует себя с молодым человеком, то к нелепости ее увлечения прибавляется нелепость выбора»</w:t>
      </w:r>
      <w:r>
        <w:rPr>
          <w:rStyle w:val="style23"/>
          <w:rFonts w:eastAsia="Arial Unicode MS"/>
          <w:lang w:val="ru-RU"/>
        </w:rPr>
        <w:t xml:space="preserve"> [3, с.134] комментаторы усматривают намек писателя на судейских чиновников, роль которых в общественной и светской жизни Франции неуклонно возрастала благодаря получению личного дворянства [7, с.335]. Однако вполне вероятно, что ирония Кребийона направлена на «судейских» не только как на явление французского общества той эпохи, но и имеет под собой какой-то конкретный жизненный пример: возможно, писатель подразумевал ситуацию любовных отношений между неким мужчиной (представителем закона) и некой женщиной. К сожалению, по прошествии времени почти невозможно сказать однозначно, имеет ли под собой этот намек конкретное содержание или нет.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rStyle w:val="style23"/>
          <w:lang w:val="ru-RU"/>
        </w:rPr>
        <w:t>Известно также, что после публикации книги «Танзай и Неадарне» (1734 г.) писатель был заключен в тюрьму, т.к. в романе увидели намеки на известных лиц - кардинала Дюбуа, кардинала де Рогана, герцогиню дю Мэн [7, с.332]. Роман действительно изобилует намеками, которые очевидны для комментаторов (А.Д. Михайлов указывает, что под словами «&lt;...&gt;</w:t>
      </w:r>
      <w:r>
        <w:rPr>
          <w:rStyle w:val="style19"/>
          <w:lang w:val="ru-RU"/>
        </w:rPr>
        <w:t xml:space="preserve"> если бы не решительный запрет принца»</w:t>
      </w:r>
      <w:r>
        <w:rPr>
          <w:rStyle w:val="style23"/>
          <w:lang w:val="ru-RU"/>
        </w:rPr>
        <w:t xml:space="preserve"> [4, с.27] имеется в виду тот факт, что наследник престола получал орден Святого духа уже при рождении [8, с.344]), и намеками, которые были понятны для современников писателя, однако представляют трудность для точной расшифровки для нас («Нюрнбергская типография», «Кроковиус-Гнилус» и т.д.).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rStyle w:val="style23"/>
          <w:lang w:val="ru-RU"/>
        </w:rPr>
        <w:t>Но основным и присущим именно Кребийону способом генерализации повествования стала афористика, которая присутствует во всех его романах и благодаря которой Кребийону удается сочетать общезначимое универсальное содержание и особенное, индивидуальное его осмысление. Каждый афоризм, отражая непосредственный опыт автора, его понимание ценностных связей, которые существуют между явлениями, в то же время представляет собой генерализацию этого опыта. В результате индивидуальное представление о мире, отразившееся в романных афоризмах, приобретает поистине субстанциальный смысл.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rStyle w:val="style23"/>
          <w:lang w:val="ru-RU"/>
        </w:rPr>
        <w:t>По Бахтину, время является в хронотопе «ведущим началом &lt;...&gt; здесь (в хронотопе -</w:t>
      </w:r>
      <w:r>
        <w:rPr>
          <w:rStyle w:val="style19"/>
          <w:lang w:val="ru-RU"/>
        </w:rPr>
        <w:t xml:space="preserve"> Н.Л.)</w:t>
      </w:r>
      <w:r>
        <w:rPr>
          <w:rStyle w:val="style23"/>
          <w:lang w:val="ru-RU"/>
        </w:rPr>
        <w:t xml:space="preserve"> оно сгущается, уплотняется, становится художественно-зримым» [1, с.10]. Кребийон стремится к обобщению, используя в афоризмах такие временные указатели, как</w:t>
      </w:r>
      <w:r>
        <w:rPr>
          <w:rStyle w:val="style19"/>
          <w:lang w:val="ru-RU"/>
        </w:rPr>
        <w:t xml:space="preserve"> всегда, везде, никогда: «Добродетели всегда сопутствует чувство глубокого покоя; она не веселит, но умиротворяет &lt;...&gt;»</w:t>
      </w:r>
      <w:r>
        <w:rPr>
          <w:rStyle w:val="style23"/>
          <w:lang w:val="ru-RU"/>
        </w:rPr>
        <w:t xml:space="preserve"> [4, с.185];</w:t>
      </w:r>
      <w:r>
        <w:rPr>
          <w:rStyle w:val="style19"/>
          <w:lang w:val="ru-RU"/>
        </w:rPr>
        <w:t xml:space="preserve"> «Женщины - странные существа. Они никогда не знают, какого рожна им нужно!» </w:t>
      </w:r>
      <w:r>
        <w:rPr>
          <w:rStyle w:val="style22"/>
          <w:i w:val="false"/>
          <w:iCs w:val="false"/>
          <w:lang w:val="ru-RU"/>
        </w:rPr>
        <w:t>[4, с.262];</w:t>
      </w:r>
      <w:r>
        <w:rPr>
          <w:rStyle w:val="style16"/>
          <w:lang w:val="ru-RU"/>
        </w:rPr>
        <w:t xml:space="preserve"> «Мы </w:t>
      </w:r>
      <w:r>
        <w:rPr>
          <w:rStyle w:val="style24"/>
          <w:lang w:val="ru-RU"/>
        </w:rPr>
        <w:t>все время</w:t>
      </w:r>
      <w:r>
        <w:rPr>
          <w:rStyle w:val="style16"/>
          <w:lang w:val="ru-RU"/>
        </w:rPr>
        <w:t xml:space="preserve"> ищем любви, но мы никого не любим»</w:t>
      </w:r>
      <w:r>
        <w:rPr>
          <w:rStyle w:val="style22"/>
          <w:i w:val="false"/>
          <w:iCs w:val="false"/>
          <w:lang w:val="ru-RU"/>
        </w:rPr>
        <w:t xml:space="preserve"> [4, с.270-271];</w:t>
      </w:r>
      <w:r>
        <w:rPr>
          <w:rStyle w:val="style16"/>
          <w:lang w:val="ru-RU"/>
        </w:rPr>
        <w:t xml:space="preserve"> «</w:t>
      </w:r>
      <w:r>
        <w:rPr>
          <w:rStyle w:val="style24"/>
          <w:lang w:val="ru-RU"/>
        </w:rPr>
        <w:t>Никогда</w:t>
      </w:r>
      <w:r>
        <w:rPr>
          <w:rStyle w:val="style16"/>
          <w:lang w:val="ru-RU"/>
        </w:rPr>
        <w:t xml:space="preserve"> не бойтесь переоценить себя и недооценить других»</w:t>
      </w:r>
      <w:r>
        <w:rPr>
          <w:rStyle w:val="style22"/>
          <w:i w:val="false"/>
          <w:iCs w:val="false"/>
          <w:lang w:val="ru-RU"/>
        </w:rPr>
        <w:t xml:space="preserve"> [3, с.215].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rStyle w:val="style23"/>
          <w:lang w:val="ru-RU"/>
        </w:rPr>
        <w:t>Кребийон стремится придать своим высказываниям весомость и убежденный тон:</w:t>
      </w:r>
      <w:r>
        <w:rPr>
          <w:rStyle w:val="style19"/>
          <w:lang w:val="ru-RU"/>
        </w:rPr>
        <w:t xml:space="preserve"> «Хорошо известно, что сильная любовь препятствует излиянию чувств»</w:t>
      </w:r>
      <w:r>
        <w:rPr>
          <w:rStyle w:val="style23"/>
          <w:lang w:val="ru-RU"/>
        </w:rPr>
        <w:t xml:space="preserve"> [4, с.226], создавая, таким образом, впечатление непоколебимой уверенности в собственных словах.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rStyle w:val="style23"/>
          <w:lang w:val="ru-RU"/>
        </w:rPr>
        <w:t xml:space="preserve">Включение афористики в романы было обусловлено двумя причинами. С одной стороны, сама эпоха рококо, которая отразилась в романах Кребийона, культивировала острое слово, и в этом отношении афоризмы отражали свою эпоху. С другой стороны, XVII век был временем расцвета моралистической прозы, и Кребийон не мог пройти мимо уроков психологического анализа, продемонстрированных великими афористами Франции. Комментаторы находят определенные созвучия между высказываниями Кребийона и афористов XVII-XVIII вв. Например, А.Д. Михайлов [8, с.356] возводит максиму Кребийона </w:t>
      </w:r>
      <w:r>
        <w:rPr>
          <w:rStyle w:val="style19"/>
          <w:lang w:val="ru-RU"/>
        </w:rPr>
        <w:t>«Немногие герои являются героями в глазах своих близких»</w:t>
      </w:r>
      <w:r>
        <w:rPr>
          <w:rStyle w:val="style23"/>
          <w:lang w:val="ru-RU"/>
        </w:rPr>
        <w:t xml:space="preserve"> [4, с.158] к высказыванию Монтеня</w:t>
      </w:r>
      <w:r>
        <w:rPr>
          <w:rStyle w:val="style19"/>
          <w:lang w:val="ru-RU"/>
        </w:rPr>
        <w:t xml:space="preserve"> «Лишь немногие вызывали восхищение своих близких»</w:t>
      </w:r>
      <w:r>
        <w:rPr>
          <w:rStyle w:val="style23"/>
          <w:lang w:val="ru-RU"/>
        </w:rPr>
        <w:t xml:space="preserve"> [9, с.22]; Ф.Жюранвиль [10] отмечает соответствие между высказыванием Кребийона</w:t>
      </w:r>
      <w:r>
        <w:rPr>
          <w:rStyle w:val="style19"/>
          <w:lang w:val="ru-RU"/>
        </w:rPr>
        <w:t xml:space="preserve"> «Легче всего хранить добродетельность непривлекательным женщинам»</w:t>
      </w:r>
      <w:r>
        <w:rPr>
          <w:rStyle w:val="style23"/>
          <w:lang w:val="ru-RU"/>
        </w:rPr>
        <w:t xml:space="preserve"> [4, с.183] и максимой Ларошфуко </w:t>
      </w:r>
      <w:r>
        <w:rPr>
          <w:rStyle w:val="style19"/>
          <w:lang w:val="ru-RU"/>
        </w:rPr>
        <w:t>«Почти все порядочные женщины - это нетронутые сокровища, которые потому и в неприкосновенности, что их никто не ищет»</w:t>
      </w:r>
      <w:r>
        <w:rPr>
          <w:rStyle w:val="style23"/>
          <w:lang w:val="ru-RU"/>
        </w:rPr>
        <w:t xml:space="preserve"> [6, с.70]. На наш взгляд, максима Кребийона</w:t>
      </w:r>
      <w:r>
        <w:rPr>
          <w:rStyle w:val="style19"/>
          <w:lang w:val="ru-RU"/>
        </w:rPr>
        <w:t xml:space="preserve"> «Часто скромность и сдержанность бывают лишь напускными и говорят не о желании ступить на путь добродетели, а лишь о намерении скрыть от людей укоренившуюся приверженность дурному»</w:t>
      </w:r>
      <w:r>
        <w:rPr>
          <w:rStyle w:val="style23"/>
          <w:lang w:val="ru-RU"/>
        </w:rPr>
        <w:t xml:space="preserve"> [4, с.164] созвучна Лабрюйеровскому</w:t>
      </w:r>
      <w:r>
        <w:rPr>
          <w:rStyle w:val="style19"/>
          <w:lang w:val="ru-RU"/>
        </w:rPr>
        <w:t xml:space="preserve"> «Я знавал женщин, которые старались скрыть свое легкомысленное поведение пол личиной скромности &lt;...&gt;»</w:t>
      </w:r>
      <w:r>
        <w:rPr>
          <w:rStyle w:val="style23"/>
          <w:lang w:val="ru-RU"/>
        </w:rPr>
        <w:t xml:space="preserve"> [5, с.92].</w:t>
      </w:r>
    </w:p>
    <w:p>
      <w:pPr>
        <w:pStyle w:val="style36"/>
        <w:shd w:fill="FFFFFF" w:val="clear"/>
        <w:spacing w:after="0" w:before="0"/>
        <w:ind w:firstLine="280" w:left="20" w:right="20"/>
        <w:contextualSpacing w:val="false"/>
      </w:pPr>
      <w:r>
        <w:rPr>
          <w:rStyle w:val="style23"/>
          <w:lang w:val="ru-RU"/>
        </w:rPr>
        <w:t>Кребийона интересовали те же темы, о которых размышляли его предшественники Монтень, Ларошфуко, Лабрюйер, Паскаль. В то же время писатель более безапелляционно высказывался об отношениях между мужчиной и женщиной (как известно, это тема являлась основной в его творчестве), например:</w:t>
      </w:r>
      <w:r>
        <w:rPr>
          <w:rStyle w:val="style19"/>
          <w:lang w:val="ru-RU"/>
        </w:rPr>
        <w:t xml:space="preserve"> «Женщинам нравятся догадливые кавалеры»</w:t>
      </w:r>
      <w:r>
        <w:rPr>
          <w:rStyle w:val="style23"/>
          <w:lang w:val="ru-RU"/>
        </w:rPr>
        <w:t xml:space="preserve"> [4, с.182] или</w:t>
      </w:r>
      <w:r>
        <w:rPr>
          <w:rStyle w:val="style19"/>
          <w:lang w:val="ru-RU"/>
        </w:rPr>
        <w:t xml:space="preserve"> «Женщины толкуют о своей добродетели вовсе не в надежде уберечь ее, а скорее с целью набить цену»</w:t>
      </w:r>
      <w:r>
        <w:rPr>
          <w:rStyle w:val="style23"/>
          <w:lang w:val="ru-RU"/>
        </w:rPr>
        <w:t xml:space="preserve"> [3, с.95], однако был более осторожным и менее категоричным в размышлениях над другими темами:</w:t>
      </w:r>
      <w:r>
        <w:rPr>
          <w:rStyle w:val="style19"/>
          <w:lang w:val="ru-RU"/>
        </w:rPr>
        <w:t xml:space="preserve"> «Иногда опасно бывает смеяться»</w:t>
      </w:r>
      <w:r>
        <w:rPr>
          <w:rStyle w:val="style23"/>
          <w:lang w:val="ru-RU"/>
        </w:rPr>
        <w:t xml:space="preserve"> [4, с.228]; «</w:t>
      </w:r>
      <w:r>
        <w:rPr>
          <w:rStyle w:val="style19"/>
          <w:lang w:val="ru-RU"/>
        </w:rPr>
        <w:t>Бывает, что выпадает такой несчастливый день, что, если бы человек мог заранее знать о его наступлении, он предпочел скорее умереть, чем пережить его»</w:t>
      </w:r>
      <w:r>
        <w:rPr>
          <w:rStyle w:val="style23"/>
          <w:lang w:val="ru-RU"/>
        </w:rPr>
        <w:t xml:space="preserve"> [4, с.230];</w:t>
      </w:r>
      <w:r>
        <w:rPr>
          <w:rStyle w:val="style19"/>
          <w:lang w:val="ru-RU"/>
        </w:rPr>
        <w:t xml:space="preserve"> «Обычно разумная мысль приходит слишком поздно»</w:t>
      </w:r>
      <w:r>
        <w:rPr>
          <w:rStyle w:val="style23"/>
          <w:lang w:val="ru-RU"/>
        </w:rPr>
        <w:t xml:space="preserve"> [4, с.299]. Возможно, момент сомнения присутствует в данных рассуждениях потому, что время Кребийона - это время, когда традиционные ценности были поставлены под сомнение, время либертенов, светских острословов и свободолюбцев. Возможно также, что Кребийон, выросший в семье некогда популярного представителя позднего классицизма Проспера Жолио де Кребийона, уходит от прискучившей категоричности классицистов. В любом случае можно наметить некоторое соответствие между хронотопом и модальностью афористического высказывания.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rStyle w:val="style23"/>
          <w:lang w:val="ru-RU"/>
        </w:rPr>
        <w:t>Важно то, что ментальная реальность, то есть представление афориста о мире, структурируя мир, обнаруживает именно авторское понимание тех ценностных связей, которые существуют между явлениями и понятиями в данный исторический момент, то есть позиционируют как время, так и самого автора как человека данной эпохи.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rStyle w:val="style23"/>
          <w:lang w:val="ru-RU"/>
        </w:rPr>
        <w:t>Афористика укрупняет хронотоп, выявляет многообразие человеческих отношений. Таким образом, опираясь на присущее афористике свойство универсализации высказывания, Кребийон реализует одно из основных свойств романа - его «способность воплотить всеобщий, всечеловеческий смысл в частных судьбах и личных переживаниях героев» [2, стлб.891] и предлагает читателю многоплановую картину мира.</w:t>
      </w:r>
    </w:p>
    <w:p>
      <w:pPr>
        <w:pStyle w:val="style36"/>
        <w:shd w:fill="FFFFFF" w:val="clear"/>
        <w:spacing w:after="0" w:before="0"/>
        <w:ind w:firstLine="280" w:left="0" w:right="20"/>
        <w:contextualSpacing w:val="false"/>
      </w:pPr>
      <w:r>
        <w:rPr>
          <w:rStyle w:val="style23"/>
          <w:lang w:val="ru-RU"/>
        </w:rPr>
        <w:t>Сказанное означает, что афористика наряду с такими моментами, как время и место действия, тип героя, тема, участвует в создании хронотопа и определяет его специфику. Локальное изображение благодаря афористике приобретает универсальный смысл, в то же время сама романная афористика, выявляя общезначимые тенденции, несет важную информацию именно о своем времени.</w:t>
      </w:r>
    </w:p>
    <w:p>
      <w:pPr>
        <w:pStyle w:val="style0"/>
        <w:keepNext/>
        <w:keepLines/>
        <w:ind w:hanging="0" w:left="3600" w:right="0"/>
      </w:pPr>
      <w:bookmarkStart w:id="1" w:name="bookmark13"/>
      <w:bookmarkEnd w:id="1"/>
      <w:r>
        <w:rPr>
          <w:rStyle w:val="style26"/>
          <w:rFonts w:eastAsia="Arial Unicode MS"/>
          <w:lang w:val="ru-RU"/>
        </w:rPr>
        <w:t>ЛИТЕРАТУРА:</w:t>
      </w:r>
    </w:p>
    <w:p>
      <w:pPr>
        <w:pStyle w:val="style0"/>
        <w:numPr>
          <w:ilvl w:val="0"/>
          <w:numId w:val="1"/>
        </w:numPr>
        <w:tabs>
          <w:tab w:leader="none" w:pos="510" w:val="left"/>
        </w:tabs>
        <w:spacing w:line="298" w:lineRule="exact"/>
        <w:ind w:firstLine="280" w:left="0" w:right="0"/>
        <w:jc w:val="both"/>
      </w:pPr>
      <w:r>
        <w:rPr>
          <w:rStyle w:val="style27"/>
          <w:rFonts w:eastAsia="Arial Unicode MS"/>
          <w:lang w:val="ru-RU"/>
        </w:rPr>
        <w:t>Бахтин М.М. Эпос и роман. - СПб.: Азбука, 2000. - 304 с.</w:t>
      </w:r>
    </w:p>
    <w:p>
      <w:pPr>
        <w:pStyle w:val="style0"/>
        <w:numPr>
          <w:ilvl w:val="0"/>
          <w:numId w:val="1"/>
        </w:numPr>
        <w:tabs>
          <w:tab w:leader="none" w:pos="547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Кожинов В.В. Роман</w:t>
      </w:r>
      <w:r>
        <w:rPr>
          <w:rStyle w:val="style28"/>
          <w:rFonts w:eastAsia="Arial Unicode MS"/>
          <w:lang w:val="ru-RU"/>
        </w:rPr>
        <w:t xml:space="preserve"> //</w:t>
      </w:r>
      <w:r>
        <w:rPr>
          <w:rStyle w:val="style27"/>
          <w:rFonts w:eastAsia="Arial Unicode MS"/>
          <w:lang w:val="ru-RU"/>
        </w:rPr>
        <w:t xml:space="preserve"> Литературная энциклопедия терминов и понятий / Под ред. А.Н.Николюкина. Институт научн. информации по общественным наукам РАН. - М.: НПК «Интелвак», 2003. - Стлб.891.</w:t>
      </w:r>
    </w:p>
    <w:p>
      <w:pPr>
        <w:pStyle w:val="style0"/>
        <w:numPr>
          <w:ilvl w:val="0"/>
          <w:numId w:val="1"/>
        </w:numPr>
        <w:tabs>
          <w:tab w:leader="none" w:pos="658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Кребийон-сын. Заблуждения сердца и ума, или Мемуары г-на де Мелькура. - М.: Наука, 1974.</w:t>
      </w:r>
    </w:p>
    <w:p>
      <w:pPr>
        <w:pStyle w:val="style0"/>
        <w:numPr>
          <w:ilvl w:val="0"/>
          <w:numId w:val="1"/>
        </w:numPr>
        <w:tabs>
          <w:tab w:leader="none" w:pos="547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Кребийон-сын. Софа // Кребийон-сын. Шумовка, или Танзай и Неадарне. Софа. - М.: Наука, 2006.</w:t>
      </w:r>
    </w:p>
    <w:p>
      <w:pPr>
        <w:pStyle w:val="style0"/>
        <w:numPr>
          <w:ilvl w:val="0"/>
          <w:numId w:val="1"/>
        </w:numPr>
        <w:tabs>
          <w:tab w:leader="none" w:pos="595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Лабрюйер, Ж. Характеры, или Нравы нынешнего века / Ж.Лабрюйер; пер. с фр. Ю.Корнеева. - М.: ООО «Издательство АСТ»; Харьков: Издательство «Фолио», 2001. - 607 с. - (Афоризмы. Максимы. Мысли).</w:t>
      </w:r>
    </w:p>
    <w:p>
      <w:pPr>
        <w:pStyle w:val="style0"/>
        <w:numPr>
          <w:ilvl w:val="0"/>
          <w:numId w:val="1"/>
        </w:numPr>
        <w:tabs>
          <w:tab w:leader="none" w:pos="590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Ларошфуко, Ф. Максимы. Мемуары / Ф.Ларошфуко; пер. с фр. - М.: ООО «Издательство АСТ»; Харьков: Издательство «Фолио», 2003. - 556 с. - (Афоризмы. Максимы. Мысли).</w:t>
      </w:r>
    </w:p>
    <w:p>
      <w:pPr>
        <w:pStyle w:val="style0"/>
        <w:numPr>
          <w:ilvl w:val="0"/>
          <w:numId w:val="1"/>
        </w:numPr>
        <w:tabs>
          <w:tab w:leader="none" w:pos="562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Михайлов А.Д. Примечания // Заблуждения сердца и ума, или Мемуары г-на де Мелькура. - М.: Наука, 1974. - С.332-339.</w:t>
      </w:r>
    </w:p>
    <w:p>
      <w:pPr>
        <w:pStyle w:val="style0"/>
        <w:numPr>
          <w:ilvl w:val="0"/>
          <w:numId w:val="1"/>
        </w:numPr>
        <w:tabs>
          <w:tab w:leader="none" w:pos="595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Михайлов А.Д. Примечания // Кребийон-сын. Шумовка, или Танзай и Неадарне. Софа. - М.: Наука, 2006. - С.339-361.</w:t>
      </w:r>
    </w:p>
    <w:p>
      <w:pPr>
        <w:pStyle w:val="style0"/>
        <w:numPr>
          <w:ilvl w:val="0"/>
          <w:numId w:val="1"/>
        </w:numPr>
        <w:tabs>
          <w:tab w:leader="none" w:pos="614" w:val="left"/>
        </w:tabs>
        <w:spacing w:line="298" w:lineRule="exact"/>
        <w:ind w:firstLine="280" w:left="0" w:right="20"/>
        <w:jc w:val="both"/>
      </w:pPr>
      <w:r>
        <w:rPr>
          <w:rStyle w:val="style27"/>
          <w:rFonts w:eastAsia="Arial Unicode MS"/>
          <w:lang w:val="ru-RU"/>
        </w:rPr>
        <w:t>Монтень, М. Опыты: в 3 кн. / М.Монтень. - М.: Наука, 1979 (Лит. памятники).</w:t>
      </w:r>
    </w:p>
    <w:p>
      <w:pPr>
        <w:pStyle w:val="style0"/>
        <w:numPr>
          <w:ilvl w:val="0"/>
          <w:numId w:val="1"/>
        </w:numPr>
        <w:tabs>
          <w:tab w:leader="none" w:pos="614" w:val="left"/>
        </w:tabs>
        <w:spacing w:line="298" w:lineRule="exact"/>
        <w:ind w:firstLine="280" w:left="0" w:right="20"/>
        <w:jc w:val="both"/>
      </w:pPr>
      <w:r>
        <w:rPr>
          <w:rStyle w:val="style27"/>
          <w:rFonts w:ascii="Calibri" w:cs="Arial Unicode MS" w:eastAsia="Arial Unicode MS" w:hAnsi="Calibri"/>
          <w:sz w:val="24"/>
          <w:szCs w:val="24"/>
          <w:lang w:val="ru-RU"/>
        </w:rPr>
        <w:t xml:space="preserve"> </w:t>
      </w:r>
      <w:bookmarkStart w:id="2" w:name="_GoBack"/>
      <w:bookmarkEnd w:id="2"/>
      <w:r>
        <w:rPr>
          <w:rStyle w:val="style27"/>
          <w:rFonts w:eastAsia="Arial Unicode MS"/>
          <w:lang w:val="ru-RU"/>
        </w:rPr>
        <w:t>Juranville F. Notes // Le sopha. - Paris, 1995. - P.239-246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Arial Unicode MS" w:cs="Arial Unicode MS" w:eastAsia="Arial Unicode MS" w:hAnsi="Arial Unicode MS"/>
      <w:color w:val="000000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basedOn w:val="style15"/>
    <w:next w:val="style1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styleId="style17" w:type="character">
    <w:name w:val="Заголовок №1_"/>
    <w:basedOn w:val="style15"/>
    <w:next w:val="style17"/>
    <w:rPr>
      <w:rFonts w:ascii="Times New Roman" w:cs="Times New Roman" w:eastAsia="Times New Roman" w:hAnsi="Times New Roman"/>
      <w:sz w:val="28"/>
      <w:szCs w:val="28"/>
      <w:shd w:fill="FFFFFF" w:val="clear"/>
    </w:rPr>
  </w:style>
  <w:style w:styleId="style18" w:type="character">
    <w:name w:val="Основной текст_"/>
    <w:basedOn w:val="style15"/>
    <w:next w:val="style18"/>
    <w:rPr>
      <w:rFonts w:ascii="Times New Roman" w:cs="Times New Roman" w:eastAsia="Times New Roman" w:hAnsi="Times New Roman"/>
      <w:sz w:val="28"/>
      <w:szCs w:val="28"/>
      <w:shd w:fill="FFFFFF" w:val="clear"/>
    </w:rPr>
  </w:style>
  <w:style w:styleId="style19" w:type="character">
    <w:name w:val="Основной текст + Курсив"/>
    <w:basedOn w:val="style18"/>
    <w:next w:val="style19"/>
    <w:rPr>
      <w:rFonts w:ascii="Times New Roman" w:cs="Times New Roman" w:eastAsia="Times New Roman" w:hAnsi="Times New Roman"/>
      <w:i/>
      <w:iCs/>
      <w:sz w:val="28"/>
      <w:szCs w:val="28"/>
      <w:shd w:fill="FFFFFF" w:val="clear"/>
    </w:rPr>
  </w:style>
  <w:style w:styleId="style20" w:type="character">
    <w:name w:val="Основной текст (3)_"/>
    <w:basedOn w:val="style15"/>
    <w:next w:val="style2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styleId="style21" w:type="character">
    <w:name w:val="Основной текст7"/>
    <w:basedOn w:val="style18"/>
    <w:next w:val="style21"/>
    <w:rPr>
      <w:rFonts w:ascii="Times New Roman" w:cs="Times New Roman" w:eastAsia="Times New Roman" w:hAnsi="Times New Roman"/>
      <w:sz w:val="28"/>
      <w:szCs w:val="28"/>
      <w:shd w:fill="FFFFFF" w:val="clear"/>
    </w:rPr>
  </w:style>
  <w:style w:styleId="style22" w:type="character">
    <w:name w:val="Основной текст (2) + Не курсив"/>
    <w:basedOn w:val="style16"/>
    <w:next w:val="style22"/>
    <w:rPr>
      <w:rFonts w:ascii="Times New Roman" w:cs="Times New Roman" w:eastAsia="Times New Roman" w:hAnsi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8"/>
      <w:szCs w:val="28"/>
    </w:rPr>
  </w:style>
  <w:style w:styleId="style23" w:type="character">
    <w:name w:val="Основной текст8"/>
    <w:basedOn w:val="style18"/>
    <w:next w:val="style23"/>
    <w:rPr>
      <w:rFonts w:ascii="Times New Roman" w:cs="Times New Roman" w:eastAsia="Times New Roman" w:hAnsi="Times New Roman"/>
      <w:sz w:val="28"/>
      <w:szCs w:val="28"/>
      <w:shd w:fill="FFFFFF" w:val="clear"/>
      <w:lang w:val="be-BY"/>
    </w:rPr>
  </w:style>
  <w:style w:styleId="style24" w:type="character">
    <w:name w:val="Основной текст (2)"/>
    <w:basedOn w:val="style16"/>
    <w:next w:val="style24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single"/>
    </w:rPr>
  </w:style>
  <w:style w:styleId="style25" w:type="character">
    <w:name w:val="Заголовок №3_"/>
    <w:basedOn w:val="style15"/>
    <w:next w:val="style25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  <w:lang w:val="be-BY"/>
    </w:rPr>
  </w:style>
  <w:style w:styleId="style26" w:type="character">
    <w:name w:val="Заголовок №3"/>
    <w:basedOn w:val="style25"/>
    <w:next w:val="style2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  <w:lang w:val="ru-RU"/>
    </w:rPr>
  </w:style>
  <w:style w:styleId="style27" w:type="character">
    <w:name w:val="Основной текст (3)"/>
    <w:basedOn w:val="style20"/>
    <w:next w:val="style27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styleId="style28" w:type="character">
    <w:name w:val="Основной текст (3) + Полужирный"/>
    <w:basedOn w:val="style20"/>
    <w:next w:val="style28"/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styleId="style29" w:type="character">
    <w:name w:val="ListLabel 1"/>
    <w:next w:val="style29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ru-RU"/>
    </w:rPr>
  </w:style>
  <w:style w:styleId="style30" w:type="paragraph">
    <w:name w:val="Заголовок"/>
    <w:basedOn w:val="style0"/>
    <w:next w:val="style3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  <w:contextualSpacing w:val="false"/>
    </w:pPr>
    <w:rPr/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Заголовок №1"/>
    <w:basedOn w:val="style0"/>
    <w:next w:val="style35"/>
    <w:pPr>
      <w:shd w:fill="FFFFFF" w:val="clear"/>
      <w:spacing w:after="300" w:before="0" w:line="322" w:lineRule="exact"/>
      <w:ind w:hanging="1860" w:left="0" w:right="0"/>
      <w:contextualSpacing w:val="false"/>
    </w:pPr>
    <w:rPr>
      <w:rFonts w:ascii="Times New Roman" w:cs="Times New Roman" w:eastAsia="Times New Roman" w:hAnsi="Times New Roman"/>
      <w:color w:val="00000A"/>
      <w:sz w:val="28"/>
      <w:szCs w:val="28"/>
      <w:lang w:eastAsia="en-US" w:val="ru-RU"/>
    </w:rPr>
  </w:style>
  <w:style w:styleId="style36" w:type="paragraph">
    <w:name w:val="Основной текст11"/>
    <w:basedOn w:val="style0"/>
    <w:next w:val="style36"/>
    <w:pPr>
      <w:shd w:fill="FFFFFF" w:val="clear"/>
      <w:spacing w:after="0" w:before="300" w:line="322" w:lineRule="exact"/>
      <w:contextualSpacing w:val="false"/>
      <w:jc w:val="both"/>
    </w:pPr>
    <w:rPr>
      <w:rFonts w:ascii="Times New Roman" w:cs="Times New Roman" w:eastAsia="Times New Roman" w:hAnsi="Times New Roman"/>
      <w:color w:val="00000A"/>
      <w:sz w:val="28"/>
      <w:szCs w:val="28"/>
      <w:lang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2012-11-23T10:39:00.00Z</dcterms:created>
  <dc:creator>Admin</dc:creator>
  <cp:lastModifiedBy>Admin</cp:lastModifiedBy>
  <dcterms:modified xsi:type="dcterms:W3CDTF">2012-11-23T10:47:00.00Z</dcterms:modified>
  <cp:revision>1</cp:revision>
</cp:coreProperties>
</file>