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72" w:rsidRDefault="00D12372" w:rsidP="00D12372">
      <w:pPr>
        <w:spacing w:before="240"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0" w:name="_Toc71407391"/>
      <w:bookmarkStart w:id="1" w:name="_Toc71456269"/>
      <w:bookmarkStart w:id="2" w:name="_Toc72748190"/>
      <w:r>
        <w:rPr>
          <w:rFonts w:ascii="Times New Roman" w:eastAsia="Times New Roman" w:hAnsi="Times New Roman" w:cs="Times New Roman"/>
          <w:b/>
          <w:sz w:val="28"/>
        </w:rPr>
        <w:t>РЕФЕРАТ</w:t>
      </w:r>
      <w:bookmarkEnd w:id="0"/>
      <w:bookmarkEnd w:id="1"/>
      <w:bookmarkEnd w:id="2"/>
    </w:p>
    <w:p w:rsidR="00D12372" w:rsidRDefault="00D12372" w:rsidP="00D12372">
      <w:pPr>
        <w:spacing w:after="16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D12372" w:rsidRPr="00711FA6" w:rsidRDefault="00D12372" w:rsidP="00D12372">
      <w:pPr>
        <w:spacing w:after="16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11FA6">
        <w:rPr>
          <w:rFonts w:ascii="Times New Roman" w:eastAsia="Times New Roman" w:hAnsi="Times New Roman" w:cs="Times New Roman"/>
          <w:color w:val="000000"/>
          <w:sz w:val="28"/>
        </w:rPr>
        <w:t>Гапанович Аллы Моисеевны</w:t>
      </w:r>
    </w:p>
    <w:p w:rsidR="00D12372" w:rsidRPr="00003C73" w:rsidRDefault="00D12372" w:rsidP="00D12372">
      <w:pPr>
        <w:spacing w:after="16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Традиции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Виленской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школы в творчестве Михаила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Севрука</w:t>
      </w:r>
      <w:proofErr w:type="spellEnd"/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1225B8">
        <w:rPr>
          <w:rFonts w:ascii="Times New Roman" w:eastAsia="Times New Roman" w:hAnsi="Times New Roman" w:cs="Times New Roman"/>
          <w:b/>
          <w:i/>
          <w:color w:val="000000"/>
          <w:sz w:val="28"/>
        </w:rPr>
        <w:t>Ключевые слова: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линогравюра, ксилография, офорт, литография, станк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вая живопись, пейзаж, портрет, композиция, скульптура, изобразительное и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кусство,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Виленская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школа.</w:t>
      </w:r>
      <w:proofErr w:type="gramEnd"/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25B8">
        <w:rPr>
          <w:rFonts w:ascii="Times New Roman" w:eastAsia="Times New Roman" w:hAnsi="Times New Roman" w:cs="Times New Roman"/>
          <w:b/>
          <w:i/>
          <w:color w:val="000000"/>
          <w:sz w:val="28"/>
        </w:rPr>
        <w:t>Объект исследования</w:t>
      </w:r>
      <w:r w:rsidRPr="001225B8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живописные и графические работы М.К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Севрука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                                                       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25B8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Предмет исследования</w:t>
      </w:r>
      <w:r w:rsidRPr="001225B8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художественного творчества              М.К.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Севрука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225B8">
        <w:rPr>
          <w:rFonts w:ascii="Times New Roman" w:eastAsia="Times New Roman" w:hAnsi="Times New Roman" w:cs="Times New Roman"/>
          <w:b/>
          <w:i/>
          <w:color w:val="000000"/>
          <w:sz w:val="28"/>
        </w:rPr>
        <w:t>Цель работы:</w:t>
      </w:r>
      <w:r>
        <w:rPr>
          <w:rFonts w:ascii="Times New Roman" w:eastAsia="Times New Roman" w:hAnsi="Times New Roman" w:cs="Times New Roman"/>
          <w:sz w:val="28"/>
        </w:rPr>
        <w:t xml:space="preserve"> выявить и определить особенности творчества Михаила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врука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как продолжателя традиций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Виленской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художественной школы.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225B8">
        <w:rPr>
          <w:rFonts w:ascii="Times New Roman" w:eastAsia="Times New Roman" w:hAnsi="Times New Roman" w:cs="Times New Roman"/>
          <w:b/>
          <w:i/>
          <w:color w:val="000000"/>
          <w:sz w:val="28"/>
        </w:rPr>
        <w:t>Методы исследования: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общенаучные методы (наблюдение, анализ,</w:t>
      </w:r>
      <w:r>
        <w:rPr>
          <w:rFonts w:ascii="Times New Roman" w:eastAsia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нение</w:t>
      </w:r>
      <w:r w:rsidRPr="005D38C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обобщение), а также специально-исторический метод (историко-генетический).</w:t>
      </w:r>
      <w:proofErr w:type="gramEnd"/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25B8">
        <w:rPr>
          <w:rFonts w:ascii="Times New Roman" w:eastAsia="Times New Roman" w:hAnsi="Times New Roman" w:cs="Times New Roman"/>
          <w:b/>
          <w:i/>
          <w:sz w:val="28"/>
        </w:rPr>
        <w:t>Выводы исследования и их научная новизна: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Научная новизна результ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тов исследования заключается в выявлении тенденций развития изобразител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искусства Беларуси 1920-1970гг., </w:t>
      </w:r>
      <w:r>
        <w:rPr>
          <w:rFonts w:ascii="Times New Roman" w:eastAsia="Times New Roman" w:hAnsi="Times New Roman" w:cs="Times New Roman"/>
          <w:sz w:val="28"/>
        </w:rPr>
        <w:t xml:space="preserve">в ходе исследования были рассмотрены и изучены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творчества живописных и графических произведений Михаила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Севрука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как продолжателя художественных традиций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Виленской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школы, его вклада в изобразительное искусство Беларуси ХХ века.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1225B8">
        <w:rPr>
          <w:rFonts w:ascii="Times New Roman" w:eastAsia="Times New Roman" w:hAnsi="Times New Roman" w:cs="Times New Roman"/>
          <w:b/>
          <w:i/>
          <w:sz w:val="28"/>
        </w:rPr>
        <w:t>Рекомендации по практическому использованию результатов: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 данного исследования могут быть использованы при изучении живописи Бел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руси 1920-1970гг., а так же для изучения творчества Михаила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Севрука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данные исследования могут быть полезны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проведении культурно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осветительских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бесед в учебных заведениях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студентов художественных школ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познав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тельных и образовательных целях 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25B8">
        <w:rPr>
          <w:rFonts w:ascii="Times New Roman" w:eastAsia="Times New Roman" w:hAnsi="Times New Roman" w:cs="Times New Roman"/>
          <w:b/>
          <w:i/>
          <w:color w:val="000000"/>
          <w:sz w:val="28"/>
        </w:rPr>
        <w:t>Структура работы</w:t>
      </w:r>
      <w:r w:rsidRPr="001225B8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введение, четыре главы, заключение, список испол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зованной литературы и приложение:  воспоминания друзей  художника и  и</w:t>
      </w: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люстрации его картин в разные периоды его жизни. Объём работы составляет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страницы. Список источников и литературы –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</w:rPr>
        <w:t>. Приложений в виде во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поминаний –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страниц. Приложений в виде иллюстраций –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страниц.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4F5DF3" w:rsidRDefault="00D12372" w:rsidP="00D12372">
      <w:pPr>
        <w:spacing w:after="160" w:line="360" w:lineRule="exact"/>
        <w:jc w:val="center"/>
        <w:outlineLvl w:val="0"/>
        <w:rPr>
          <w:rFonts w:ascii="Times New Roman" w:hAnsi="Times New Roman"/>
          <w:b/>
          <w:sz w:val="28"/>
        </w:rPr>
      </w:pPr>
      <w:bookmarkStart w:id="3" w:name="_Toc70206188"/>
      <w:bookmarkStart w:id="4" w:name="_Toc70206609"/>
      <w:bookmarkStart w:id="5" w:name="_Toc71407392"/>
      <w:bookmarkStart w:id="6" w:name="_Toc71456270"/>
      <w:bookmarkStart w:id="7" w:name="_Toc72748191"/>
      <w:r w:rsidRPr="00B24C78">
        <w:rPr>
          <w:rFonts w:ascii="Times New Roman" w:hAnsi="Times New Roman"/>
          <w:b/>
          <w:sz w:val="28"/>
        </w:rPr>
        <w:t>РЭФЕРАТ</w:t>
      </w:r>
      <w:bookmarkEnd w:id="3"/>
      <w:bookmarkEnd w:id="4"/>
      <w:bookmarkEnd w:id="5"/>
      <w:bookmarkEnd w:id="6"/>
      <w:bookmarkEnd w:id="7"/>
    </w:p>
    <w:p w:rsidR="00D12372" w:rsidRPr="004F5DF3" w:rsidRDefault="00D12372" w:rsidP="00D12372">
      <w:pPr>
        <w:spacing w:after="16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D12372" w:rsidRDefault="00D12372" w:rsidP="00D12372">
      <w:pPr>
        <w:spacing w:after="16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</w:rPr>
        <w:t>Гапановіч</w:t>
      </w:r>
      <w:proofErr w:type="spellEnd"/>
      <w:r w:rsidRPr="00AC134A">
        <w:rPr>
          <w:rFonts w:ascii="Times New Roman" w:eastAsia="Times New Roman" w:hAnsi="Times New Roman" w:cs="Times New Roman"/>
          <w:color w:val="000000"/>
          <w:sz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 w:rsidRPr="00AC134A">
        <w:rPr>
          <w:rFonts w:ascii="Times New Roman" w:eastAsia="Times New Roman" w:hAnsi="Times New Roman" w:cs="Times New Roman"/>
          <w:color w:val="000000"/>
          <w:sz w:val="28"/>
        </w:rPr>
        <w:t xml:space="preserve">ы </w:t>
      </w: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</w:rPr>
        <w:t>Майсееўны</w:t>
      </w:r>
      <w:proofErr w:type="spellEnd"/>
    </w:p>
    <w:p w:rsidR="00D12372" w:rsidRDefault="00D12372" w:rsidP="00D12372">
      <w:pPr>
        <w:spacing w:after="160" w:line="360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Традыцы</w:t>
      </w:r>
      <w:proofErr w:type="gramStart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і</w:t>
      </w:r>
      <w:proofErr w:type="spellEnd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іленскай</w:t>
      </w:r>
      <w:proofErr w:type="spellEnd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школы ў </w:t>
      </w:r>
      <w:proofErr w:type="spellStart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творчасці</w:t>
      </w:r>
      <w:proofErr w:type="spellEnd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Міхаіла</w:t>
      </w:r>
      <w:proofErr w:type="spellEnd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color w:val="000000"/>
          <w:sz w:val="28"/>
        </w:rPr>
        <w:t>Сеўрука</w:t>
      </w:r>
      <w:proofErr w:type="spellEnd"/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Ключавыя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словы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лінагравюра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ксілаграфія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афорт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літаграфія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станковы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жывапіс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пейзаж,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партрэт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кампазіцыя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скульптура,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Выяўленчае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мастацтва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Віленская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школа.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Аб'ект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жывапісныя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графічныя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работы М. да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Сеўрука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Прадмет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асаблівасці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мас</w:t>
      </w:r>
      <w:r>
        <w:rPr>
          <w:rFonts w:ascii="Times New Roman" w:eastAsia="Times New Roman" w:hAnsi="Times New Roman" w:cs="Times New Roman"/>
          <w:color w:val="000000"/>
          <w:sz w:val="28"/>
        </w:rPr>
        <w:t>тацкага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творчасці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Сеўрука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Мэта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працы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выявіць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вызначыць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асаблівасці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творчасці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Мі</w:t>
      </w:r>
      <w:proofErr w:type="gramStart"/>
      <w:r w:rsidRPr="005A5A47">
        <w:rPr>
          <w:rFonts w:ascii="Times New Roman" w:eastAsia="Times New Roman" w:hAnsi="Times New Roman" w:cs="Times New Roman"/>
          <w:sz w:val="28"/>
        </w:rPr>
        <w:t>хаіла</w:t>
      </w:r>
      <w:proofErr w:type="spellEnd"/>
      <w:proofErr w:type="gram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Сеўрука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як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прадаўжальніка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традыцый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віленскай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мастацкай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школы.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Метад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агульнанавуковыя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метады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proofErr w:type="gramStart"/>
      <w:r w:rsidRPr="005A5A47">
        <w:rPr>
          <w:rFonts w:ascii="Times New Roman" w:eastAsia="Times New Roman" w:hAnsi="Times New Roman" w:cs="Times New Roman"/>
          <w:sz w:val="28"/>
        </w:rPr>
        <w:t>наз</w:t>
      </w:r>
      <w:proofErr w:type="gramEnd"/>
      <w:r w:rsidRPr="005A5A47">
        <w:rPr>
          <w:rFonts w:ascii="Times New Roman" w:eastAsia="Times New Roman" w:hAnsi="Times New Roman" w:cs="Times New Roman"/>
          <w:sz w:val="28"/>
        </w:rPr>
        <w:t>іранне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аналіз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lang w:val="be-BY"/>
        </w:rPr>
        <w:t>параўнальны</w:t>
      </w:r>
      <w:r w:rsidRPr="005D38C7">
        <w:rPr>
          <w:rFonts w:ascii="Times New Roman" w:eastAsia="Times New Roman" w:hAnsi="Times New Roman" w:cs="Times New Roman"/>
          <w:sz w:val="28"/>
        </w:rPr>
        <w:t>,</w:t>
      </w:r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абагульненне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), а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таксама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спецыяльна-гістарычны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метад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гісторыка-генетычны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>).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Высновы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і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іх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навуковая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навізна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Навуковая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навізна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вынікаў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заключаецца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ў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выяўленні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тэндэнцый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развіцця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выяўленчага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маст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</w:rPr>
        <w:t>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Беларусі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1920-1970гг.,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у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ходзе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былі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разгледжаны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вывучаны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асаблівасці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творчасці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жывапісных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графічных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твораў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Мі</w:t>
      </w:r>
      <w:proofErr w:type="gram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хаіла</w:t>
      </w:r>
      <w:proofErr w:type="spellEnd"/>
      <w:proofErr w:type="gram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Сеўрука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як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пр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даўжальніка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мастацкіх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традыцый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віленскай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школы,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яго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ўкладу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ў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Выяўленчае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мастацтва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Беларусі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ХХ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стагоддзя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237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Рэкамендацыі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па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практычнаму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выкарыстанню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sz w:val="28"/>
        </w:rPr>
        <w:t>вынікаў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высновы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дадз</w:t>
      </w:r>
      <w:r w:rsidRPr="005A5A47">
        <w:rPr>
          <w:rFonts w:ascii="Times New Roman" w:eastAsia="Times New Roman" w:hAnsi="Times New Roman" w:cs="Times New Roman"/>
          <w:sz w:val="28"/>
        </w:rPr>
        <w:t>е</w:t>
      </w:r>
      <w:r w:rsidRPr="005A5A47">
        <w:rPr>
          <w:rFonts w:ascii="Times New Roman" w:eastAsia="Times New Roman" w:hAnsi="Times New Roman" w:cs="Times New Roman"/>
          <w:sz w:val="28"/>
        </w:rPr>
        <w:t>нага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даследавання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могуць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быць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выкарыстаны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пры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вывучэнні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жывапісу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Беларусі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1920-1970гг., а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гэтак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жа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вывучэння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творчасці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Мі</w:t>
      </w:r>
      <w:proofErr w:type="gramStart"/>
      <w:r w:rsidRPr="005A5A47">
        <w:rPr>
          <w:rFonts w:ascii="Times New Roman" w:eastAsia="Times New Roman" w:hAnsi="Times New Roman" w:cs="Times New Roman"/>
          <w:sz w:val="28"/>
        </w:rPr>
        <w:t>хаіла</w:t>
      </w:r>
      <w:proofErr w:type="spellEnd"/>
      <w:proofErr w:type="gram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Сеўрука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дадзеныя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даследаванні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могуць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быць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карысныя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ў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правядзенні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культурна-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асвятляльных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г</w:t>
      </w:r>
      <w:r w:rsidRPr="005A5A47">
        <w:rPr>
          <w:rFonts w:ascii="Times New Roman" w:eastAsia="Times New Roman" w:hAnsi="Times New Roman" w:cs="Times New Roman"/>
          <w:sz w:val="28"/>
        </w:rPr>
        <w:t>у</w:t>
      </w:r>
      <w:r w:rsidRPr="005A5A47">
        <w:rPr>
          <w:rFonts w:ascii="Times New Roman" w:eastAsia="Times New Roman" w:hAnsi="Times New Roman" w:cs="Times New Roman"/>
          <w:sz w:val="28"/>
        </w:rPr>
        <w:t>тарак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навучальных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установах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, для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студэнтаў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мастацкіх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 xml:space="preserve"> школ у </w:t>
      </w:r>
      <w:proofErr w:type="spellStart"/>
      <w:r w:rsidRPr="005A5A47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азнавальных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адукацыйных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мэтах</w:t>
      </w:r>
      <w:proofErr w:type="spellEnd"/>
      <w:r w:rsidRPr="005A5A47">
        <w:rPr>
          <w:rFonts w:ascii="Times New Roman" w:eastAsia="Times New Roman" w:hAnsi="Times New Roman" w:cs="Times New Roman"/>
          <w:sz w:val="28"/>
        </w:rPr>
        <w:t>.</w:t>
      </w: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Структура </w:t>
      </w:r>
      <w:proofErr w:type="spellStart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працы</w:t>
      </w:r>
      <w:proofErr w:type="spellEnd"/>
      <w:r w:rsidRPr="005A5A47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ўвядзенне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чатыры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кіраўніка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Заключэнне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Спіс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вык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рыстанай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літаратуры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дадатак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успаміны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сяброў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мастака і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ілюстрацыі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яго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ка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цін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розныя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перыяды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яго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жыцця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Аб'ём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працы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складае</w:t>
      </w:r>
      <w:proofErr w:type="spellEnd"/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50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стар</w:t>
      </w:r>
      <w:r>
        <w:rPr>
          <w:rFonts w:ascii="Times New Roman" w:eastAsia="Times New Roman" w:hAnsi="Times New Roman" w:cs="Times New Roman"/>
          <w:color w:val="000000"/>
          <w:sz w:val="28"/>
        </w:rPr>
        <w:t>онкі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крыніц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літаратуры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42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Прыкладанняў</w:t>
      </w:r>
      <w:proofErr w:type="spellEnd"/>
      <w:r w:rsidRPr="00A228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228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выглядзе</w:t>
      </w:r>
      <w:proofErr w:type="spellEnd"/>
      <w:r w:rsidRPr="00A228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успамин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2852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4</w:t>
      </w:r>
      <w:r w:rsidRPr="00A228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старонак</w:t>
      </w:r>
      <w:proofErr w:type="spellEnd"/>
      <w:r w:rsidRPr="00A2285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Прыкладанняў</w:t>
      </w:r>
      <w:proofErr w:type="spellEnd"/>
      <w:r w:rsidRPr="00E4581D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A5A47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E458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выглядзе</w:t>
      </w:r>
      <w:proofErr w:type="spellEnd"/>
      <w:r w:rsidRPr="00E4581D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ілюстрацый</w:t>
      </w:r>
      <w:proofErr w:type="spellEnd"/>
      <w:r w:rsidRPr="00E4581D">
        <w:rPr>
          <w:rFonts w:ascii="Times New Roman" w:eastAsia="Times New Roman" w:hAnsi="Times New Roman" w:cs="Times New Roman"/>
          <w:color w:val="000000"/>
          <w:sz w:val="28"/>
        </w:rPr>
        <w:t xml:space="preserve"> - 2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0</w:t>
      </w:r>
      <w:r w:rsidRPr="00E458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A5A47">
        <w:rPr>
          <w:rFonts w:ascii="Times New Roman" w:eastAsia="Times New Roman" w:hAnsi="Times New Roman" w:cs="Times New Roman"/>
          <w:color w:val="000000"/>
          <w:sz w:val="28"/>
        </w:rPr>
        <w:t>старонак</w:t>
      </w:r>
      <w:proofErr w:type="spellEnd"/>
      <w:r w:rsidRPr="00E4581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E4581D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2372" w:rsidRPr="00DA6A14" w:rsidRDefault="00D12372" w:rsidP="00D12372">
      <w:pPr>
        <w:spacing w:after="16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8" w:name="_Toc70206189"/>
      <w:bookmarkStart w:id="9" w:name="_Toc70206610"/>
      <w:bookmarkStart w:id="10" w:name="_Toc71407393"/>
      <w:bookmarkStart w:id="11" w:name="_Toc71456271"/>
      <w:bookmarkStart w:id="12" w:name="_Toc72748192"/>
      <w:r w:rsidRPr="00DA6A14">
        <w:rPr>
          <w:rFonts w:ascii="Times New Roman" w:eastAsia="Times New Roman" w:hAnsi="Times New Roman" w:cs="Times New Roman"/>
          <w:b/>
          <w:sz w:val="28"/>
          <w:lang w:val="en-US"/>
        </w:rPr>
        <w:t>ABSTRACT</w:t>
      </w:r>
      <w:bookmarkEnd w:id="8"/>
      <w:bookmarkEnd w:id="9"/>
      <w:bookmarkEnd w:id="10"/>
      <w:bookmarkEnd w:id="11"/>
      <w:bookmarkEnd w:id="12"/>
    </w:p>
    <w:p w:rsidR="00D12372" w:rsidRPr="00DA6A14" w:rsidRDefault="00D12372" w:rsidP="00D12372">
      <w:pPr>
        <w:spacing w:after="16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12372" w:rsidRPr="00DA6A14" w:rsidRDefault="00D12372" w:rsidP="00D12372">
      <w:pPr>
        <w:spacing w:after="16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13" w:name="_Toc70206190"/>
      <w:bookmarkStart w:id="14" w:name="_Toc70206611"/>
      <w:bookmarkStart w:id="15" w:name="_Toc71407394"/>
      <w:bookmarkStart w:id="16" w:name="_Toc71456272"/>
      <w:bookmarkStart w:id="17" w:name="_Toc72748193"/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Alla</w:t>
      </w:r>
      <w:proofErr w:type="spellEnd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Hapanovic</w:t>
      </w:r>
      <w:bookmarkEnd w:id="13"/>
      <w:bookmarkEnd w:id="14"/>
      <w:bookmarkEnd w:id="15"/>
      <w:bookmarkEnd w:id="16"/>
      <w:bookmarkEnd w:id="17"/>
      <w:proofErr w:type="spellEnd"/>
    </w:p>
    <w:p w:rsidR="00D12372" w:rsidRPr="00AC134A" w:rsidRDefault="00D12372" w:rsidP="00D12372">
      <w:pPr>
        <w:spacing w:after="160" w:line="360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AC134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Traditions of the </w:t>
      </w:r>
      <w:proofErr w:type="spellStart"/>
      <w:r w:rsidRPr="00AC134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Vilen</w:t>
      </w:r>
      <w:proofErr w:type="spellEnd"/>
      <w:r w:rsidRPr="00AC134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School in the work of Mikhail </w:t>
      </w:r>
      <w:proofErr w:type="spellStart"/>
      <w:r w:rsidRPr="00AC134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Sevruk</w:t>
      </w:r>
      <w:proofErr w:type="spellEnd"/>
    </w:p>
    <w:p w:rsidR="00D12372" w:rsidRPr="00DA6A14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r w:rsidRPr="00DA6A1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Keywords: </w:t>
      </w:r>
      <w:r w:rsidRPr="00DA6A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Linocut, woodcut, etching, lithography, machine painting, landscape, portrait, composition, sculpture, fine art, </w:t>
      </w:r>
      <w:proofErr w:type="spellStart"/>
      <w:r w:rsidRPr="00DA6A14">
        <w:rPr>
          <w:rFonts w:ascii="Times New Roman" w:eastAsia="Times New Roman" w:hAnsi="Times New Roman" w:cs="Times New Roman"/>
          <w:color w:val="000000"/>
          <w:sz w:val="28"/>
          <w:lang w:val="en-US"/>
        </w:rPr>
        <w:t>Vilensky</w:t>
      </w:r>
      <w:proofErr w:type="spellEnd"/>
      <w:r w:rsidRPr="00DA6A1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DA6A14">
        <w:rPr>
          <w:rFonts w:ascii="Times New Roman" w:eastAsia="Times New Roman" w:hAnsi="Times New Roman" w:cs="Times New Roman"/>
          <w:color w:val="000000"/>
          <w:sz w:val="28"/>
          <w:lang w:val="en-US"/>
        </w:rPr>
        <w:t>school</w:t>
      </w:r>
      <w:proofErr w:type="gramEnd"/>
      <w:r w:rsidRPr="00DA6A14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D12372" w:rsidRPr="00AC134A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C134A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The object of the study: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paintings and graphic works by M.K. </w:t>
      </w: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Sevruk</w:t>
      </w:r>
      <w:proofErr w:type="spellEnd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D12372" w:rsidRPr="00AC134A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C134A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The subject of the study: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features of the artistic creation of M.K. </w:t>
      </w: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Sevruk</w:t>
      </w:r>
      <w:proofErr w:type="spellEnd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D12372" w:rsidRPr="00AC134A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C134A">
        <w:rPr>
          <w:rFonts w:ascii="Times New Roman" w:eastAsia="Times New Roman" w:hAnsi="Times New Roman" w:cs="Times New Roman"/>
          <w:b/>
          <w:i/>
          <w:sz w:val="28"/>
          <w:lang w:val="en-US"/>
        </w:rPr>
        <w:t>The purpose of the work:</w:t>
      </w:r>
      <w:r w:rsidRPr="00AC134A">
        <w:rPr>
          <w:rFonts w:ascii="Times New Roman" w:eastAsia="Times New Roman" w:hAnsi="Times New Roman" w:cs="Times New Roman"/>
          <w:sz w:val="28"/>
          <w:lang w:val="en-US"/>
        </w:rPr>
        <w:t xml:space="preserve"> to identify and identify the peculiarities of Mikhail </w:t>
      </w:r>
      <w:proofErr w:type="spellStart"/>
      <w:r w:rsidRPr="00AC134A">
        <w:rPr>
          <w:rFonts w:ascii="Times New Roman" w:eastAsia="Times New Roman" w:hAnsi="Times New Roman" w:cs="Times New Roman"/>
          <w:sz w:val="28"/>
          <w:lang w:val="en-US"/>
        </w:rPr>
        <w:t>Sevruk's</w:t>
      </w:r>
      <w:proofErr w:type="spellEnd"/>
      <w:r w:rsidRPr="00AC134A">
        <w:rPr>
          <w:rFonts w:ascii="Times New Roman" w:eastAsia="Times New Roman" w:hAnsi="Times New Roman" w:cs="Times New Roman"/>
          <w:sz w:val="28"/>
          <w:lang w:val="en-US"/>
        </w:rPr>
        <w:t xml:space="preserve"> work as a follower of the traditions of the </w:t>
      </w:r>
      <w:proofErr w:type="spellStart"/>
      <w:r w:rsidRPr="00AC134A">
        <w:rPr>
          <w:rFonts w:ascii="Times New Roman" w:eastAsia="Times New Roman" w:hAnsi="Times New Roman" w:cs="Times New Roman"/>
          <w:sz w:val="28"/>
          <w:lang w:val="en-US"/>
        </w:rPr>
        <w:t>Vilen</w:t>
      </w:r>
      <w:proofErr w:type="spellEnd"/>
      <w:r w:rsidRPr="00AC134A">
        <w:rPr>
          <w:rFonts w:ascii="Times New Roman" w:eastAsia="Times New Roman" w:hAnsi="Times New Roman" w:cs="Times New Roman"/>
          <w:sz w:val="28"/>
          <w:lang w:val="en-US"/>
        </w:rPr>
        <w:t xml:space="preserve"> Art School.</w:t>
      </w:r>
    </w:p>
    <w:p w:rsidR="00D12372" w:rsidRPr="00AC134A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C134A">
        <w:rPr>
          <w:rFonts w:ascii="Times New Roman" w:eastAsia="Times New Roman" w:hAnsi="Times New Roman" w:cs="Times New Roman"/>
          <w:b/>
          <w:i/>
          <w:sz w:val="28"/>
          <w:lang w:val="en-US"/>
        </w:rPr>
        <w:t>Research methods:</w:t>
      </w:r>
      <w:r w:rsidRPr="00AC134A">
        <w:rPr>
          <w:rFonts w:ascii="Times New Roman" w:eastAsia="Times New Roman" w:hAnsi="Times New Roman" w:cs="Times New Roman"/>
          <w:sz w:val="28"/>
          <w:lang w:val="en-US"/>
        </w:rPr>
        <w:t xml:space="preserve"> general scientific methods (observation, analysis, general</w:t>
      </w:r>
      <w:r w:rsidRPr="00AC134A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AC134A">
        <w:rPr>
          <w:rFonts w:ascii="Times New Roman" w:eastAsia="Times New Roman" w:hAnsi="Times New Roman" w:cs="Times New Roman"/>
          <w:sz w:val="28"/>
          <w:lang w:val="en-US"/>
        </w:rPr>
        <w:t>zation), as well as special-historical method (historical-genetic).</w:t>
      </w:r>
    </w:p>
    <w:p w:rsidR="00D12372" w:rsidRPr="00AC134A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C134A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The findings of the study and their scientific novelty: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The scientific novelty of the results of the study is to identify trends in the development of fine art in Belarus 1920-1970. In the course of the study, the peculiarities of </w:t>
      </w:r>
      <w:proofErr w:type="spellStart"/>
      <w:proofErr w:type="gram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mikhail</w:t>
      </w:r>
      <w:proofErr w:type="spellEnd"/>
      <w:proofErr w:type="gramEnd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Sevruk's</w:t>
      </w:r>
      <w:proofErr w:type="spellEnd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paintings and graphic works, as a successor of the artistic traditions of the </w:t>
      </w:r>
      <w:proofErr w:type="spell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Vilen</w:t>
      </w:r>
      <w:proofErr w:type="spellEnd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school and his contribution to the visual art of the 20th century, were examined and studied.</w:t>
      </w:r>
    </w:p>
    <w:p w:rsidR="00D12372" w:rsidRPr="00CC01E2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</w:pPr>
      <w:r w:rsidRPr="00CC01E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lang w:val="en-US"/>
        </w:rPr>
        <w:t>Recommendations for the practical use of results:</w:t>
      </w:r>
      <w:r w:rsidRPr="00AC134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lang w:val="en-US"/>
        </w:rPr>
        <w:t xml:space="preserve"> </w:t>
      </w:r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 xml:space="preserve">The findings of this study can be used in the study of painting of Belarus 1920-1970, as well as to study the work of Mikhail </w:t>
      </w:r>
      <w:proofErr w:type="spellStart"/>
      <w:proofErr w:type="gramStart"/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Sevruk</w:t>
      </w:r>
      <w:proofErr w:type="spellEnd"/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,</w:t>
      </w:r>
      <w:proofErr w:type="gramEnd"/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 xml:space="preserve"> these studies can be useful in conducting cultural - lighting convers</w:t>
      </w:r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a</w:t>
      </w:r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tions in educational institutions, for students of art schools for educational and educ</w:t>
      </w:r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a</w:t>
      </w:r>
      <w:r w:rsidRPr="00CC01E2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tional purposes.</w:t>
      </w:r>
    </w:p>
    <w:p w:rsidR="00D12372" w:rsidRPr="00E11109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C01E2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The structure of the work:</w:t>
      </w:r>
      <w:r w:rsidRPr="00CC01E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introduction, four chapters, conclusion, list of used literature and app: memories of friends of the artist and illustrations of his paintings at different periods of his life. The volume of work is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50</w:t>
      </w:r>
      <w:r w:rsidRPr="00CC01E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pages. The list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of sources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and literature is 4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2</w:t>
      </w:r>
      <w:r w:rsidRPr="00CC01E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Apps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in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the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form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of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11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memories</w:t>
      </w:r>
      <w:proofErr w:type="gramEnd"/>
      <w:r w:rsidRPr="008D70F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4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pages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r w:rsidRPr="00E11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Apps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in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the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form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of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111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l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lustrations</w:t>
      </w:r>
      <w:proofErr w:type="gramEnd"/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8D70F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val="be-BY"/>
        </w:rPr>
        <w:t>20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AC134A">
        <w:rPr>
          <w:rFonts w:ascii="Times New Roman" w:eastAsia="Times New Roman" w:hAnsi="Times New Roman" w:cs="Times New Roman"/>
          <w:color w:val="000000"/>
          <w:sz w:val="28"/>
          <w:lang w:val="en-US"/>
        </w:rPr>
        <w:t>pages</w:t>
      </w:r>
      <w:r w:rsidRPr="00E11109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D12372" w:rsidRPr="00E11109" w:rsidRDefault="00D12372" w:rsidP="00D123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470AF" w:rsidRPr="00D12372" w:rsidRDefault="00D12372">
      <w:pPr>
        <w:rPr>
          <w:lang w:val="en-US"/>
        </w:rPr>
      </w:pPr>
      <w:bookmarkStart w:id="18" w:name="_GoBack"/>
      <w:bookmarkEnd w:id="18"/>
    </w:p>
    <w:sectPr w:rsidR="008470AF" w:rsidRPr="00D1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F"/>
    <w:rsid w:val="000C656A"/>
    <w:rsid w:val="00373501"/>
    <w:rsid w:val="00D12372"/>
    <w:rsid w:val="00F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Арсеня</dc:creator>
  <cp:lastModifiedBy>Арсеня</cp:lastModifiedBy>
  <cp:revision>2</cp:revision>
  <dcterms:created xsi:type="dcterms:W3CDTF">2021-06-07T18:28:00Z</dcterms:created>
  <dcterms:modified xsi:type="dcterms:W3CDTF">2021-06-07T18:28:00Z</dcterms:modified>
</cp:coreProperties>
</file>