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РЕФЕРАТ</w:t>
      </w:r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Близнюк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Анастасия Анатольевна</w:t>
      </w:r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фестиваль как форма диалога в социокультурном пространстве </w:t>
      </w:r>
      <w:proofErr w:type="spellStart"/>
      <w:r>
        <w:rPr>
          <w:rFonts w:ascii="Times New Roman" w:hAnsi="Times New Roman"/>
          <w:b/>
          <w:sz w:val="28"/>
          <w:szCs w:val="28"/>
        </w:rPr>
        <w:t>г.Минска</w:t>
      </w:r>
      <w:proofErr w:type="spellEnd"/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работа: 53 стр., 3 табл., 4 рис., 43 источника, 7 приложений.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Ключевые слова</w:t>
      </w:r>
      <w:r>
        <w:rPr>
          <w:rFonts w:ascii="Times New Roman" w:hAnsi="Times New Roman"/>
          <w:sz w:val="28"/>
          <w:szCs w:val="28"/>
        </w:rPr>
        <w:t>: музыкальный фестиваль, фестивальное движение, фестиваль, городское пространство.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исследования: выявить диалоговые формы музыкальных фестивалей в социокультурном пространстве Минска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исследования– музыкальный фестиваль.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– музыкальный фестиваль как форма диалога.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Методология и методы исследования</w:t>
      </w:r>
      <w:r>
        <w:rPr>
          <w:rFonts w:ascii="Times New Roman" w:hAnsi="Times New Roman"/>
          <w:sz w:val="28"/>
          <w:szCs w:val="28"/>
        </w:rPr>
        <w:t xml:space="preserve">: аксиологический подход к изучению культурологических процессов и явлений, общенаучные методы (исследование, системный подход, анализ). В работе использовались также теоретико-культурный, историко-культурный, социокультурный и сравнительно-исторический методы исследования. 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результате исследования</w:t>
      </w:r>
      <w:r>
        <w:rPr>
          <w:rFonts w:ascii="Times New Roman" w:hAnsi="Times New Roman"/>
          <w:sz w:val="28"/>
          <w:szCs w:val="28"/>
        </w:rPr>
        <w:t xml:space="preserve"> были выявлены исторические формы фестивального движения, которые сформировались на основе карнавально-праздничной традиции и творческой игры зрелища, игры-импровизации эпох Античности, Средневековья и Возрождения. 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был определён потенциал диалога музыкального фестиваля в социокультурном пространстве г. Минска. Как форма диалога фестиваль формирует необходимые условия для коммуникации между представителями разных этносов и культур: происходит обмен творческим, социальным и духовным опытом, а также создаются новые продукты совместного творчества. Благодаря фестивалям происходит преодоление провинциальной замкнутости зрителя, сплочение горожан. 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исследования были сделаны анализ и оценка трёх музыкальных фестивалей Минска– «Рок за Бобров», «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fest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  <w:lang w:val="en-US"/>
        </w:rPr>
        <w:t>FSP</w:t>
      </w:r>
      <w:r w:rsidRPr="00A55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Freaky</w:t>
      </w:r>
      <w:r w:rsidRPr="00A55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Summer</w:t>
      </w:r>
      <w:r w:rsidRPr="00A55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Party</w:t>
      </w:r>
      <w:r>
        <w:rPr>
          <w:rFonts w:ascii="Times New Roman" w:hAnsi="Times New Roman"/>
          <w:sz w:val="28"/>
          <w:szCs w:val="28"/>
        </w:rPr>
        <w:t>». Были выявлены преимущества и недостатки в организации исследуемых фестивалей. На основе анализа масштабных зарубежных музыкальных фестивалей, рекомендаций посетителей исследуемых фестивалей были разработаны предложения по развитию музыкальных фестивалей в социокультурном пространстве г. Минска.</w:t>
      </w:r>
    </w:p>
    <w:p w:rsidR="00A557D2" w:rsidRDefault="00A557D2" w:rsidP="00A557D2">
      <w:pPr>
        <w:spacing w:after="0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РЭФЕРАТ</w:t>
      </w:r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Блізнюк Настасся Анатольеўна</w:t>
      </w:r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Музычны фестываль як форма дыялогу</w:t>
      </w:r>
      <w:r>
        <w:rPr>
          <w:rFonts w:ascii="Times New Roman" w:hAnsi="Times New Roman"/>
          <w:b/>
          <w:sz w:val="28"/>
          <w:szCs w:val="28"/>
        </w:rPr>
        <w:t xml:space="preserve"> ў </w:t>
      </w:r>
      <w:r>
        <w:rPr>
          <w:rFonts w:ascii="Times New Roman" w:hAnsi="Times New Roman"/>
          <w:b/>
          <w:sz w:val="28"/>
          <w:szCs w:val="28"/>
          <w:lang w:val="be-BY"/>
        </w:rPr>
        <w:t>сацыякультурнай</w:t>
      </w:r>
      <w:r>
        <w:rPr>
          <w:rFonts w:ascii="Times New Roman" w:hAnsi="Times New Roman"/>
          <w:b/>
          <w:sz w:val="28"/>
          <w:szCs w:val="28"/>
          <w:lang w:val="be-BY"/>
        </w:rPr>
        <w:br/>
        <w:t xml:space="preserve"> прасторы г.Мінска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Дыпломная праца</w:t>
      </w:r>
      <w:r>
        <w:rPr>
          <w:rFonts w:ascii="Times New Roman" w:hAnsi="Times New Roman"/>
          <w:sz w:val="28"/>
          <w:szCs w:val="28"/>
        </w:rPr>
        <w:t xml:space="preserve">: 54 </w:t>
      </w:r>
      <w:proofErr w:type="spellStart"/>
      <w:r>
        <w:rPr>
          <w:rFonts w:ascii="Times New Roman" w:hAnsi="Times New Roman"/>
          <w:sz w:val="28"/>
          <w:szCs w:val="28"/>
        </w:rPr>
        <w:t>старонкі</w:t>
      </w:r>
      <w:proofErr w:type="spellEnd"/>
      <w:r>
        <w:rPr>
          <w:rFonts w:ascii="Times New Roman" w:hAnsi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/>
          <w:sz w:val="28"/>
          <w:szCs w:val="28"/>
        </w:rPr>
        <w:t>табл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4 малюнка, 43 крыніц</w:t>
      </w:r>
      <w:r>
        <w:rPr>
          <w:rFonts w:ascii="Times New Roman" w:hAnsi="Times New Roman"/>
          <w:sz w:val="28"/>
          <w:szCs w:val="28"/>
        </w:rPr>
        <w:t xml:space="preserve">, 7 </w:t>
      </w:r>
      <w:r>
        <w:rPr>
          <w:rFonts w:ascii="Times New Roman" w:hAnsi="Times New Roman"/>
          <w:sz w:val="28"/>
          <w:szCs w:val="28"/>
          <w:lang w:val="be-BY"/>
        </w:rPr>
        <w:t>дадаткаў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Ключавыя словы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be-BY"/>
        </w:rPr>
        <w:t>музычны фестываль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фестывальны рух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фестываль, гарадская прастора.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/>
          <w:sz w:val="28"/>
          <w:szCs w:val="28"/>
          <w:lang w:val="be-BY"/>
        </w:rPr>
        <w:t xml:space="preserve"> даследавання–выявіць дыялогавыя формы музычных фестываляў у сацыякультурнай прасторы Мінска.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Аб</w:t>
      </w:r>
      <w:r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be-BY"/>
        </w:rPr>
        <w:t>ект</w:t>
      </w:r>
      <w:r>
        <w:rPr>
          <w:rFonts w:ascii="Times New Roman" w:hAnsi="Times New Roman"/>
          <w:sz w:val="28"/>
          <w:szCs w:val="28"/>
          <w:lang w:val="be-BY"/>
        </w:rPr>
        <w:t xml:space="preserve">  даследавання–музычны фестываль.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Прадмет</w:t>
      </w:r>
      <w:r>
        <w:rPr>
          <w:rFonts w:ascii="Times New Roman" w:hAnsi="Times New Roman"/>
          <w:sz w:val="28"/>
          <w:szCs w:val="28"/>
          <w:lang w:val="be-BY"/>
        </w:rPr>
        <w:t>–музычны фестываль як форма дыялога.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Метадалогія і метады даследавання</w:t>
      </w:r>
      <w:r>
        <w:rPr>
          <w:rFonts w:ascii="Times New Roman" w:hAnsi="Times New Roman"/>
          <w:sz w:val="28"/>
          <w:szCs w:val="28"/>
          <w:lang w:val="be-BY"/>
        </w:rPr>
        <w:t>: аксіялагічны падыход да вывучэння культуралагічных працэсаў і з'яў, агульнанавуковыя метады (даследаванне, сістэмны падыход, аналіз). У працы выкарыстоўваліся таксама тэарэтыка-культурны, гісторыка-культурны, сацыякультурны і параўнальна-гістарычны метады даследавання.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У выніку даследавання</w:t>
      </w:r>
      <w:r>
        <w:rPr>
          <w:rFonts w:ascii="Times New Roman" w:hAnsi="Times New Roman"/>
          <w:sz w:val="28"/>
          <w:szCs w:val="28"/>
          <w:lang w:val="be-BY"/>
        </w:rPr>
        <w:t xml:space="preserve"> былі выяўлены гістарычныя формы фестывальнага руху, якія сфармаваліся на аснове карнавальна-святочнай традыцыі і творчай гульні відовішча, гульні-імправізацыі эпох Антычнасці, Сярэднявечча і Адраджэння.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працы быў вызначаны патэнцыял дыялогу музычнага фестывалю ў сацыякультурнай прасторы г.Мінск. Як форма дыялогу фестываль фарміруе неабходныя ўмовы для камунікацыі паміж прадстаўнікамі розных этнасаў і культур: адбываецца абмен творчым, сацыяльным і духоўным вопытам,  таксама ствараюцца новыя прадукты сумеснай творчасці. Дзякуючы фестывалям адбываецца пераадоленне правінцыйнай замкнёнасці гледача, згуртаванне гараджан.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Падчас даследавання былі зробленыя аналіз і ацэнка трох музычных фестываляў Менска–«Рок за Бобров», «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fest</w:t>
      </w:r>
      <w:r>
        <w:rPr>
          <w:rFonts w:ascii="Times New Roman" w:hAnsi="Times New Roman"/>
          <w:sz w:val="28"/>
          <w:szCs w:val="28"/>
          <w:lang w:val="be-BY"/>
        </w:rPr>
        <w:t xml:space="preserve">», « </w:t>
      </w:r>
      <w:r>
        <w:rPr>
          <w:rFonts w:ascii="Times New Roman" w:hAnsi="Times New Roman"/>
          <w:sz w:val="28"/>
          <w:szCs w:val="28"/>
          <w:lang w:val="en-US"/>
        </w:rPr>
        <w:t>FSP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Freaky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Summer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Party</w:t>
      </w:r>
      <w:r>
        <w:rPr>
          <w:rFonts w:ascii="Times New Roman" w:hAnsi="Times New Roman"/>
          <w:sz w:val="28"/>
          <w:szCs w:val="28"/>
          <w:lang w:val="be-BY"/>
        </w:rPr>
        <w:t>». Былі выяўлены перавагі і недахопы ў арганізацыі доследных фестываляў. На аснове аналізу маштабных замежных музычных фестываляў, рэкамендацый наведвальнікаў доследных фестываляў былі распрацаваны прапановы па развіцці музычных фестываляў у сацыякультурнай прасторы г.Мінска.</w:t>
      </w:r>
    </w:p>
    <w:p w:rsidR="00A557D2" w:rsidRDefault="00A557D2" w:rsidP="00A557D2">
      <w:pPr>
        <w:spacing w:after="160" w:line="256" w:lineRule="auto"/>
        <w:ind w:firstLine="0"/>
        <w:jc w:val="lef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SUMMARY</w:t>
      </w:r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Blizniuk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Nastassia</w:t>
      </w:r>
      <w:proofErr w:type="spellEnd"/>
    </w:p>
    <w:p w:rsidR="00A557D2" w:rsidRDefault="00A557D2" w:rsidP="00A557D2">
      <w:pPr>
        <w:spacing w:after="0" w:line="276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Music festival as a form of dialogue in the social and cultural space of Minsk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Diploma work: </w:t>
      </w:r>
      <w:r>
        <w:rPr>
          <w:rFonts w:ascii="Times New Roman" w:hAnsi="Times New Roman"/>
          <w:sz w:val="28"/>
          <w:szCs w:val="28"/>
          <w:lang w:val="be-BY"/>
        </w:rPr>
        <w:t>53</w:t>
      </w:r>
      <w:r>
        <w:rPr>
          <w:rFonts w:ascii="Times New Roman" w:hAnsi="Times New Roman"/>
          <w:sz w:val="28"/>
          <w:szCs w:val="28"/>
          <w:lang w:val="en-US"/>
        </w:rPr>
        <w:t xml:space="preserve"> p., 3 tables, 4 illustrations,43 sources, 7 encl.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Key words</w:t>
      </w:r>
      <w:r>
        <w:rPr>
          <w:rFonts w:ascii="Times New Roman" w:hAnsi="Times New Roman"/>
          <w:sz w:val="28"/>
          <w:szCs w:val="28"/>
          <w:lang w:val="en-US"/>
        </w:rPr>
        <w:t>: music festival, festival movement, festival, urban space.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aim of research</w:t>
      </w:r>
      <w:r>
        <w:rPr>
          <w:rFonts w:ascii="Times New Roman" w:hAnsi="Times New Roman"/>
          <w:sz w:val="28"/>
          <w:szCs w:val="28"/>
          <w:lang w:val="en-US"/>
        </w:rPr>
        <w:t>– to identify dialogical forms of music festivals in the socio-cultural space of Minsk.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object of the research</w:t>
      </w:r>
      <w:r>
        <w:rPr>
          <w:rFonts w:ascii="Times New Roman" w:hAnsi="Times New Roman"/>
          <w:sz w:val="28"/>
          <w:szCs w:val="28"/>
          <w:lang w:val="en-US"/>
        </w:rPr>
        <w:t>–music festival.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subject of the research</w:t>
      </w:r>
      <w:r>
        <w:rPr>
          <w:rFonts w:ascii="Times New Roman" w:hAnsi="Times New Roman"/>
          <w:sz w:val="28"/>
          <w:szCs w:val="28"/>
          <w:lang w:val="en-US"/>
        </w:rPr>
        <w:t>– music festival as a form of dialogue.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Methodology and research methods</w:t>
      </w:r>
      <w:r>
        <w:rPr>
          <w:rFonts w:ascii="Times New Roman" w:hAnsi="Times New Roman"/>
          <w:sz w:val="28"/>
          <w:szCs w:val="28"/>
          <w:lang w:val="en-US"/>
        </w:rPr>
        <w:t xml:space="preserve">: axiological approach to the study of cultural processes and phenomena, general scientific methods (research, system approach, analysis). </w:t>
      </w:r>
      <w:r>
        <w:rPr>
          <w:rFonts w:ascii="Times New Roman" w:hAnsi="Times New Roman"/>
          <w:sz w:val="28"/>
          <w:szCs w:val="28"/>
          <w:lang w:val="be-BY"/>
        </w:rPr>
        <w:t xml:space="preserve">In </w:t>
      </w:r>
      <w:r>
        <w:rPr>
          <w:rFonts w:ascii="Times New Roman" w:hAnsi="Times New Roman"/>
          <w:sz w:val="28"/>
          <w:szCs w:val="28"/>
          <w:lang w:val="en-US"/>
        </w:rPr>
        <w:t xml:space="preserve">the research also </w:t>
      </w:r>
      <w:r>
        <w:rPr>
          <w:rFonts w:ascii="Times New Roman" w:hAnsi="Times New Roman"/>
          <w:sz w:val="28"/>
          <w:szCs w:val="28"/>
          <w:lang w:val="be-BY"/>
        </w:rPr>
        <w:t xml:space="preserve">were </w:t>
      </w:r>
      <w:r>
        <w:rPr>
          <w:rFonts w:ascii="Times New Roman" w:hAnsi="Times New Roman"/>
          <w:sz w:val="28"/>
          <w:szCs w:val="28"/>
          <w:lang w:val="en-US"/>
        </w:rPr>
        <w:t>used theoretical and cultural, historical and cultural, socio-cultural and comparative historical methods.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In the result of research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were</w:t>
      </w:r>
      <w:r>
        <w:rPr>
          <w:rFonts w:ascii="Times New Roman" w:hAnsi="Times New Roman"/>
          <w:sz w:val="28"/>
          <w:szCs w:val="28"/>
          <w:lang w:val="en-US"/>
        </w:rPr>
        <w:t xml:space="preserve"> identified the historical forms of the festival movement, which was formed on the basis of the carnival-festive traditions and creative games show, games, improvisation epochs of Antiquity, the Middle Ages and Renaissance.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the work was defined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 potential of the music festival's dialogue in the social and cultural space of Minsk.  As a form of dialogue, the festival creates the necessary conditions for communication between representatives of different ethnic groups and cultures:</w:t>
      </w:r>
      <w:r>
        <w:rPr>
          <w:rFonts w:ascii="Times New Roman" w:hAnsi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t</w:t>
      </w:r>
      <w:r>
        <w:rPr>
          <w:rFonts w:ascii="Times New Roman" w:hAnsi="Times New Roman"/>
          <w:sz w:val="28"/>
          <w:szCs w:val="28"/>
          <w:lang w:val="en"/>
        </w:rPr>
        <w:t xml:space="preserve">here is an exchange of creative, social and spiritual experience, as well as new products of joint creativity are </w:t>
      </w:r>
      <w:r>
        <w:rPr>
          <w:rFonts w:ascii="Times New Roman" w:hAnsi="Times New Roman"/>
          <w:sz w:val="28"/>
          <w:szCs w:val="28"/>
          <w:lang w:val="en-US"/>
        </w:rPr>
        <w:t>produce</w:t>
      </w:r>
      <w:r>
        <w:rPr>
          <w:rFonts w:ascii="Times New Roman" w:hAnsi="Times New Roman"/>
          <w:sz w:val="28"/>
          <w:szCs w:val="28"/>
          <w:lang w:val="en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Thanks to festivals, take place overcoming of provincial closure of the viewer and unity of citizens.</w:t>
      </w:r>
    </w:p>
    <w:p w:rsidR="00A557D2" w:rsidRDefault="00A557D2" w:rsidP="00A557D2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During the research, three music festivals in Minsk–«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</w:t>
      </w:r>
      <w:r>
        <w:rPr>
          <w:rFonts w:ascii="Times New Roman" w:hAnsi="Times New Roman"/>
          <w:sz w:val="28"/>
          <w:szCs w:val="28"/>
          <w:lang w:val="en-US"/>
        </w:rPr>
        <w:t>», «A-fest», «FSP Freaky Summer Party» were analyzed.  The advantages and disadvantages of organizing analyzed festivals were identified. Based on the analysis of large-scale foreign music festivals, recommendations of visitors to the studied festivals were developed proposals for the development of music festivals in the socio-cultural space of Minsk.</w:t>
      </w:r>
    </w:p>
    <w:bookmarkEnd w:id="0"/>
    <w:p w:rsidR="00595D34" w:rsidRPr="00A557D2" w:rsidRDefault="00595D34">
      <w:pPr>
        <w:rPr>
          <w:lang w:val="en-US"/>
        </w:rPr>
      </w:pPr>
    </w:p>
    <w:sectPr w:rsidR="00595D34" w:rsidRPr="00A5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2"/>
    <w:rsid w:val="00595D34"/>
    <w:rsid w:val="00A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3685E-9DCB-4961-B4E1-054BE65A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D2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Asiz Asiz</dc:creator>
  <cp:keywords/>
  <dc:description/>
  <cp:lastModifiedBy>Asiz Asiz</cp:lastModifiedBy>
  <cp:revision>1</cp:revision>
  <dcterms:created xsi:type="dcterms:W3CDTF">2020-06-11T13:45:00Z</dcterms:created>
  <dcterms:modified xsi:type="dcterms:W3CDTF">2020-06-11T13:45:00Z</dcterms:modified>
</cp:coreProperties>
</file>