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5A9D" w:rsidRPr="003B31F2" w:rsidRDefault="0018409F" w:rsidP="002A5A9D">
      <w:pPr>
        <w:spacing w:after="480"/>
        <w:jc w:val="center"/>
        <w:outlineLvl w:val="0"/>
        <w:rPr>
          <w:rFonts w:eastAsia="Times New Roman" w:cs="Times New Roman"/>
          <w:b/>
          <w:bCs/>
          <w:color w:val="000000"/>
          <w:sz w:val="32"/>
          <w:szCs w:val="24"/>
          <w:lang w:eastAsia="ru-RU"/>
        </w:rPr>
      </w:pPr>
      <w:r>
        <w:rPr>
          <w:rFonts w:eastAsia="Times New Roman" w:cs="Times New Roman"/>
          <w:b/>
          <w:bCs/>
          <w:color w:val="000000"/>
          <w:sz w:val="32"/>
          <w:szCs w:val="24"/>
          <w:lang w:eastAsia="ru-RU"/>
        </w:rPr>
        <w:t xml:space="preserve">АННОТАЦИЯ </w:t>
      </w:r>
    </w:p>
    <w:p w:rsidR="002A5A9D" w:rsidRPr="003B31F2" w:rsidRDefault="002A5A9D" w:rsidP="002A5A9D">
      <w:pPr>
        <w:rPr>
          <w:rFonts w:cs="Times New Roman"/>
          <w:iCs/>
          <w:color w:val="000000"/>
          <w:szCs w:val="24"/>
          <w:lang w:eastAsia="ru-RU"/>
        </w:rPr>
      </w:pPr>
      <w:r w:rsidRPr="003B31F2">
        <w:rPr>
          <w:rFonts w:cs="Times New Roman"/>
          <w:iCs/>
          <w:color w:val="000000"/>
          <w:szCs w:val="24"/>
          <w:lang w:eastAsia="ru-RU"/>
        </w:rPr>
        <w:t xml:space="preserve">Дипломная работа состоит из </w:t>
      </w:r>
      <w:r w:rsidR="00D52469">
        <w:rPr>
          <w:rFonts w:cs="Times New Roman"/>
          <w:iCs/>
          <w:color w:val="000000"/>
          <w:szCs w:val="24"/>
          <w:lang w:eastAsia="ru-RU"/>
        </w:rPr>
        <w:t xml:space="preserve">задания на дипломную работу, оглавления, реферата дипломной работы, </w:t>
      </w:r>
      <w:r w:rsidRPr="003B31F2">
        <w:rPr>
          <w:rFonts w:cs="Times New Roman"/>
          <w:iCs/>
          <w:color w:val="000000"/>
          <w:szCs w:val="24"/>
          <w:lang w:eastAsia="ru-RU"/>
        </w:rPr>
        <w:t>введения, трех глав, заключения</w:t>
      </w:r>
      <w:r w:rsidR="00D52469">
        <w:rPr>
          <w:rFonts w:cs="Times New Roman"/>
          <w:iCs/>
          <w:color w:val="000000"/>
          <w:szCs w:val="24"/>
          <w:lang w:eastAsia="ru-RU"/>
        </w:rPr>
        <w:t xml:space="preserve">, списка использованных источников </w:t>
      </w:r>
      <w:r w:rsidRPr="003B31F2">
        <w:rPr>
          <w:rFonts w:cs="Times New Roman"/>
          <w:iCs/>
          <w:color w:val="000000"/>
          <w:szCs w:val="24"/>
          <w:lang w:eastAsia="ru-RU"/>
        </w:rPr>
        <w:t>и содержит 55 страниц, список использованных источников из 51 наименования.</w:t>
      </w:r>
    </w:p>
    <w:p w:rsidR="002A5A9D" w:rsidRPr="003B31F2" w:rsidRDefault="002A5A9D" w:rsidP="002A5A9D">
      <w:pPr>
        <w:rPr>
          <w:rFonts w:cs="Times New Roman"/>
          <w:iCs/>
          <w:color w:val="000000"/>
          <w:szCs w:val="24"/>
          <w:lang w:eastAsia="ru-RU"/>
        </w:rPr>
      </w:pPr>
    </w:p>
    <w:p w:rsidR="002A5A9D" w:rsidRPr="003B31F2" w:rsidRDefault="002A5A9D" w:rsidP="002A5A9D">
      <w:pPr>
        <w:rPr>
          <w:rFonts w:cs="Times New Roman"/>
          <w:iCs/>
          <w:color w:val="000000"/>
          <w:szCs w:val="24"/>
          <w:lang w:eastAsia="ru-RU"/>
        </w:rPr>
      </w:pPr>
      <w:r w:rsidRPr="003B31F2">
        <w:rPr>
          <w:rFonts w:cs="Times New Roman"/>
          <w:iCs/>
          <w:color w:val="000000"/>
          <w:szCs w:val="24"/>
          <w:lang w:eastAsia="ru-RU"/>
        </w:rPr>
        <w:t xml:space="preserve">Ключевые слова: ПРАВО ВНЕШНИХ СНОШЕНИЙ, КОДИФИКАЦИЯ ПРАВА ВНЕШНИХ СНОШЕНИЙ, ИСТОЧНИКИ ПРАВА, ОРГАНЫ ВНЕШНИХ СНОШЕНИЙ, КОНСУЛЬСКИЕ УЧРЕЖДЕНИЯ, КОНСУЛЬСКАЯ СЛУЖБА РЕСПУБЛИКИ </w:t>
      </w:r>
      <w:proofErr w:type="gramStart"/>
      <w:r w:rsidRPr="003B31F2">
        <w:rPr>
          <w:rFonts w:cs="Times New Roman"/>
          <w:iCs/>
          <w:color w:val="000000"/>
          <w:szCs w:val="24"/>
          <w:lang w:eastAsia="ru-RU"/>
        </w:rPr>
        <w:t>БЕЛАРУСЬ,  ИММУНИТЕТЫ</w:t>
      </w:r>
      <w:proofErr w:type="gramEnd"/>
      <w:r w:rsidRPr="003B31F2">
        <w:rPr>
          <w:rFonts w:cs="Times New Roman"/>
          <w:iCs/>
          <w:color w:val="000000"/>
          <w:szCs w:val="24"/>
          <w:lang w:eastAsia="ru-RU"/>
        </w:rPr>
        <w:t>, ПРИВИЛЕГИИ</w:t>
      </w:r>
    </w:p>
    <w:p w:rsidR="002A5A9D" w:rsidRPr="003B31F2" w:rsidRDefault="002A5A9D" w:rsidP="002A5A9D">
      <w:pPr>
        <w:rPr>
          <w:rFonts w:cs="Times New Roman"/>
          <w:iCs/>
          <w:color w:val="000000"/>
          <w:szCs w:val="24"/>
          <w:lang w:eastAsia="ru-RU"/>
        </w:rPr>
      </w:pPr>
    </w:p>
    <w:p w:rsidR="002A5A9D" w:rsidRPr="003B31F2" w:rsidRDefault="002A5A9D" w:rsidP="002A5A9D">
      <w:pPr>
        <w:rPr>
          <w:rFonts w:cs="Times New Roman"/>
          <w:iCs/>
          <w:color w:val="000000"/>
          <w:szCs w:val="24"/>
          <w:lang w:eastAsia="ru-RU"/>
        </w:rPr>
      </w:pPr>
      <w:r w:rsidRPr="003B31F2">
        <w:rPr>
          <w:rFonts w:cs="Times New Roman"/>
          <w:i/>
          <w:iCs/>
          <w:color w:val="000000"/>
          <w:szCs w:val="24"/>
          <w:lang w:eastAsia="ru-RU"/>
        </w:rPr>
        <w:t>Объект исследования</w:t>
      </w:r>
      <w:r w:rsidRPr="003B31F2">
        <w:rPr>
          <w:rFonts w:cs="Times New Roman"/>
          <w:iCs/>
          <w:color w:val="000000"/>
          <w:szCs w:val="24"/>
          <w:lang w:eastAsia="ru-RU"/>
        </w:rPr>
        <w:t xml:space="preserve"> органы внешних сношений Республики Беларусь. </w:t>
      </w:r>
    </w:p>
    <w:p w:rsidR="002A5A9D" w:rsidRPr="003B31F2" w:rsidRDefault="002A5A9D" w:rsidP="002A5A9D">
      <w:pPr>
        <w:rPr>
          <w:rFonts w:cs="Times New Roman"/>
          <w:iCs/>
          <w:color w:val="000000"/>
          <w:szCs w:val="24"/>
          <w:lang w:eastAsia="ru-RU"/>
        </w:rPr>
      </w:pPr>
      <w:r w:rsidRPr="003B31F2">
        <w:rPr>
          <w:rFonts w:cs="Times New Roman"/>
          <w:iCs/>
          <w:color w:val="000000"/>
          <w:szCs w:val="24"/>
          <w:lang w:eastAsia="ru-RU"/>
        </w:rPr>
        <w:t>Предмет исследования: консульская служба Республики Беларусь.</w:t>
      </w:r>
    </w:p>
    <w:p w:rsidR="002A5A9D" w:rsidRPr="003B31F2" w:rsidRDefault="002A5A9D" w:rsidP="002A5A9D">
      <w:pPr>
        <w:rPr>
          <w:rFonts w:cs="Times New Roman"/>
          <w:iCs/>
          <w:color w:val="000000"/>
          <w:szCs w:val="24"/>
          <w:lang w:eastAsia="ru-RU"/>
        </w:rPr>
      </w:pPr>
      <w:r w:rsidRPr="003B31F2">
        <w:rPr>
          <w:rFonts w:cs="Times New Roman"/>
          <w:i/>
          <w:iCs/>
          <w:color w:val="000000"/>
          <w:szCs w:val="24"/>
          <w:lang w:eastAsia="ru-RU"/>
        </w:rPr>
        <w:t>Цель исследования</w:t>
      </w:r>
      <w:r w:rsidRPr="003B31F2">
        <w:rPr>
          <w:rFonts w:cs="Times New Roman"/>
          <w:iCs/>
          <w:color w:val="000000"/>
          <w:szCs w:val="24"/>
          <w:lang w:eastAsia="ru-RU"/>
        </w:rPr>
        <w:t xml:space="preserve"> заключаются в том, чтобы проанализировать и определить международно-правовой статус и функции консульской службы в Республике Беларусь. </w:t>
      </w:r>
    </w:p>
    <w:p w:rsidR="002A5A9D" w:rsidRPr="003B31F2" w:rsidRDefault="002A5A9D" w:rsidP="002A5A9D">
      <w:pPr>
        <w:rPr>
          <w:rFonts w:cs="Times New Roman"/>
          <w:iCs/>
          <w:color w:val="000000"/>
          <w:szCs w:val="24"/>
          <w:lang w:eastAsia="ru-RU"/>
        </w:rPr>
      </w:pPr>
      <w:r w:rsidRPr="003B31F2">
        <w:rPr>
          <w:rFonts w:cs="Times New Roman"/>
          <w:i/>
          <w:iCs/>
          <w:color w:val="000000"/>
          <w:szCs w:val="24"/>
          <w:lang w:eastAsia="ru-RU"/>
        </w:rPr>
        <w:t>Методы исследования</w:t>
      </w:r>
      <w:r w:rsidRPr="003B31F2">
        <w:rPr>
          <w:rFonts w:cs="Times New Roman"/>
          <w:iCs/>
          <w:color w:val="000000"/>
          <w:szCs w:val="24"/>
          <w:lang w:eastAsia="ru-RU"/>
        </w:rPr>
        <w:t xml:space="preserve">: диалектический метод научного </w:t>
      </w:r>
      <w:proofErr w:type="gramStart"/>
      <w:r w:rsidRPr="003B31F2">
        <w:rPr>
          <w:rFonts w:cs="Times New Roman"/>
          <w:iCs/>
          <w:color w:val="000000"/>
          <w:szCs w:val="24"/>
          <w:lang w:eastAsia="ru-RU"/>
        </w:rPr>
        <w:t>познания;  формально</w:t>
      </w:r>
      <w:proofErr w:type="gramEnd"/>
      <w:r w:rsidRPr="003B31F2">
        <w:rPr>
          <w:rFonts w:cs="Times New Roman"/>
          <w:iCs/>
          <w:color w:val="000000"/>
          <w:szCs w:val="24"/>
          <w:lang w:eastAsia="ru-RU"/>
        </w:rPr>
        <w:t xml:space="preserve">-логический; сравнительно-правовой;  метод системного анализа. </w:t>
      </w:r>
    </w:p>
    <w:p w:rsidR="002A5A9D" w:rsidRPr="003B31F2" w:rsidRDefault="002A5A9D" w:rsidP="002A5A9D">
      <w:pPr>
        <w:rPr>
          <w:rFonts w:cs="Times New Roman"/>
          <w:iCs/>
          <w:color w:val="000000"/>
          <w:szCs w:val="24"/>
          <w:lang w:eastAsia="ru-RU"/>
        </w:rPr>
      </w:pPr>
      <w:r w:rsidRPr="003B31F2">
        <w:rPr>
          <w:rFonts w:cs="Times New Roman"/>
          <w:i/>
          <w:iCs/>
          <w:color w:val="000000"/>
          <w:szCs w:val="24"/>
          <w:lang w:eastAsia="ru-RU"/>
        </w:rPr>
        <w:t>Практическая значимость исследования</w:t>
      </w:r>
      <w:r w:rsidRPr="003B31F2">
        <w:rPr>
          <w:rFonts w:cs="Times New Roman"/>
          <w:iCs/>
          <w:color w:val="000000"/>
          <w:szCs w:val="24"/>
          <w:lang w:eastAsia="ru-RU"/>
        </w:rPr>
        <w:t xml:space="preserve"> заключается в достижении непосредственной цели исследования, в анализе внешнеполитического курса Республики Беларусь, в целом, и функционирования аппарата дипломатической и консульской службы, в частности. Материалы работы и содержащиеся в ней выводы и предложения могут найти применение в научно-исследовательской работе при изучении международно-правовых проблем, прежде всего в сфере консульского права, а также в процессе преподавания специального курса по консульскому праву в юридических вузах и на юридических факультетах. </w:t>
      </w:r>
    </w:p>
    <w:p w:rsidR="002A5A9D" w:rsidRPr="003B31F2" w:rsidRDefault="002A5A9D" w:rsidP="002A5A9D">
      <w:pPr>
        <w:rPr>
          <w:rFonts w:cs="Times New Roman"/>
          <w:iCs/>
          <w:color w:val="000000"/>
          <w:szCs w:val="24"/>
          <w:lang w:eastAsia="ru-RU"/>
        </w:rPr>
      </w:pPr>
      <w:r w:rsidRPr="003B31F2">
        <w:rPr>
          <w:rFonts w:cs="Times New Roman"/>
          <w:i/>
          <w:iCs/>
          <w:color w:val="000000"/>
          <w:szCs w:val="24"/>
          <w:lang w:eastAsia="ru-RU"/>
        </w:rPr>
        <w:t>Новизна работы</w:t>
      </w:r>
      <w:r w:rsidRPr="003B31F2">
        <w:rPr>
          <w:rFonts w:cs="Times New Roman"/>
          <w:iCs/>
          <w:color w:val="000000"/>
          <w:szCs w:val="24"/>
          <w:lang w:eastAsia="ru-RU"/>
        </w:rPr>
        <w:t xml:space="preserve"> определяется изучением теоретико-концептуальных основ консульской службы; определения особенностей становления, развития и правового регулирование консульской службы Республики Беларусь, а </w:t>
      </w:r>
      <w:proofErr w:type="gramStart"/>
      <w:r w:rsidRPr="003B31F2">
        <w:rPr>
          <w:rFonts w:cs="Times New Roman"/>
          <w:iCs/>
          <w:color w:val="000000"/>
          <w:szCs w:val="24"/>
          <w:lang w:eastAsia="ru-RU"/>
        </w:rPr>
        <w:t>также  основных</w:t>
      </w:r>
      <w:proofErr w:type="gramEnd"/>
      <w:r w:rsidRPr="003B31F2">
        <w:rPr>
          <w:rFonts w:cs="Times New Roman"/>
          <w:iCs/>
          <w:color w:val="000000"/>
          <w:szCs w:val="24"/>
          <w:lang w:eastAsia="ru-RU"/>
        </w:rPr>
        <w:t xml:space="preserve"> направлений деятельности консульской службы Республики Беларусь.</w:t>
      </w:r>
    </w:p>
    <w:p w:rsidR="002A5A9D" w:rsidRPr="003B31F2" w:rsidRDefault="002A5A9D" w:rsidP="002A5A9D">
      <w:pPr>
        <w:rPr>
          <w:rFonts w:cs="Times New Roman"/>
          <w:i/>
          <w:color w:val="000000"/>
          <w:szCs w:val="24"/>
          <w:lang w:eastAsia="ru-RU"/>
        </w:rPr>
      </w:pPr>
      <w:r w:rsidRPr="003B31F2">
        <w:rPr>
          <w:rFonts w:cs="Times New Roman"/>
          <w:iCs/>
          <w:color w:val="000000"/>
          <w:szCs w:val="24"/>
          <w:lang w:eastAsia="ru-RU"/>
        </w:rPr>
        <w:t>Автор работы подтверждает достоверность материалов и результатов дипломной работы, а также самостоятельность ее выполнения.</w:t>
      </w:r>
    </w:p>
    <w:p w:rsidR="002A5A9D" w:rsidRPr="003B31F2" w:rsidRDefault="002A5A9D" w:rsidP="002A5A9D">
      <w:pPr>
        <w:widowControl/>
        <w:rPr>
          <w:rFonts w:cs="Times New Roman"/>
          <w:iCs/>
          <w:color w:val="000000"/>
          <w:szCs w:val="24"/>
          <w:lang w:eastAsia="ru-RU"/>
        </w:rPr>
      </w:pPr>
    </w:p>
    <w:p w:rsidR="002A5A9D" w:rsidRPr="003B31F2" w:rsidRDefault="002A5A9D" w:rsidP="002A5A9D">
      <w:pPr>
        <w:widowControl/>
        <w:jc w:val="center"/>
        <w:rPr>
          <w:rFonts w:eastAsia="Times New Roman" w:cs="Times New Roman"/>
          <w:b/>
          <w:bCs/>
          <w:color w:val="000000"/>
          <w:sz w:val="32"/>
          <w:szCs w:val="24"/>
          <w:lang w:val="en-US" w:eastAsia="ru-RU"/>
        </w:rPr>
      </w:pPr>
      <w:r w:rsidRPr="00D52469">
        <w:rPr>
          <w:rFonts w:cs="Times New Roman"/>
          <w:color w:val="000000"/>
          <w:szCs w:val="24"/>
          <w:lang w:val="en-US" w:eastAsia="ru-RU"/>
        </w:rPr>
        <w:br w:type="page"/>
      </w:r>
      <w:bookmarkStart w:id="0" w:name="_Toc516253981"/>
      <w:r w:rsidRPr="003B31F2">
        <w:rPr>
          <w:rFonts w:eastAsia="Times New Roman" w:cs="Times New Roman"/>
          <w:b/>
          <w:bCs/>
          <w:color w:val="000000"/>
          <w:sz w:val="32"/>
          <w:szCs w:val="24"/>
          <w:lang w:val="en-US" w:eastAsia="ru-RU"/>
        </w:rPr>
        <w:lastRenderedPageBreak/>
        <w:t>ABSTRACT</w:t>
      </w:r>
      <w:bookmarkEnd w:id="0"/>
    </w:p>
    <w:p w:rsidR="002A5A9D" w:rsidRPr="003B31F2" w:rsidRDefault="002A5A9D" w:rsidP="002A5A9D">
      <w:pPr>
        <w:widowControl/>
        <w:rPr>
          <w:rFonts w:cs="Times New Roman"/>
          <w:color w:val="000000"/>
          <w:szCs w:val="24"/>
          <w:lang w:val="be-BY" w:eastAsia="ru-RU"/>
        </w:rPr>
      </w:pPr>
    </w:p>
    <w:p w:rsidR="002A5A9D" w:rsidRPr="003B31F2" w:rsidRDefault="002A5A9D" w:rsidP="002A5A9D">
      <w:pPr>
        <w:rPr>
          <w:rFonts w:cs="Times New Roman"/>
          <w:iCs/>
          <w:color w:val="000000"/>
          <w:szCs w:val="24"/>
          <w:lang w:val="en-US" w:eastAsia="ru-RU"/>
        </w:rPr>
      </w:pPr>
      <w:r w:rsidRPr="003B31F2">
        <w:rPr>
          <w:rFonts w:cs="Times New Roman"/>
          <w:iCs/>
          <w:color w:val="000000"/>
          <w:szCs w:val="24"/>
          <w:lang w:val="en-US" w:eastAsia="ru-RU"/>
        </w:rPr>
        <w:t xml:space="preserve">The thesis consists of </w:t>
      </w:r>
      <w:r w:rsidR="00D52469">
        <w:rPr>
          <w:rFonts w:cs="Times New Roman"/>
          <w:iCs/>
          <w:color w:val="000000"/>
          <w:szCs w:val="24"/>
          <w:lang w:val="en-US" w:eastAsia="ru-RU"/>
        </w:rPr>
        <w:t xml:space="preserve">the thesis work, the table of contents, the </w:t>
      </w:r>
      <w:proofErr w:type="spellStart"/>
      <w:r w:rsidR="00D52469">
        <w:rPr>
          <w:rFonts w:cs="Times New Roman"/>
          <w:iCs/>
          <w:color w:val="000000"/>
          <w:szCs w:val="24"/>
          <w:lang w:val="en-US" w:eastAsia="ru-RU"/>
        </w:rPr>
        <w:t>absracrt</w:t>
      </w:r>
      <w:proofErr w:type="spellEnd"/>
      <w:r w:rsidR="00D52469">
        <w:rPr>
          <w:rFonts w:cs="Times New Roman"/>
          <w:iCs/>
          <w:color w:val="000000"/>
          <w:szCs w:val="24"/>
          <w:lang w:val="en-US" w:eastAsia="ru-RU"/>
        </w:rPr>
        <w:t xml:space="preserve"> of thesis, </w:t>
      </w:r>
      <w:r w:rsidRPr="003B31F2">
        <w:rPr>
          <w:rFonts w:cs="Times New Roman"/>
          <w:iCs/>
          <w:color w:val="000000"/>
          <w:szCs w:val="24"/>
          <w:lang w:val="en-US" w:eastAsia="ru-RU"/>
        </w:rPr>
        <w:t>introduction, three chapters, conclusion and contains 55 pages, a list of sources used from 51 items.</w:t>
      </w:r>
    </w:p>
    <w:p w:rsidR="002A5A9D" w:rsidRPr="003B31F2" w:rsidRDefault="002A5A9D" w:rsidP="002A5A9D">
      <w:pPr>
        <w:rPr>
          <w:rFonts w:cs="Times New Roman"/>
          <w:iCs/>
          <w:color w:val="000000"/>
          <w:szCs w:val="24"/>
          <w:lang w:val="en-US" w:eastAsia="ru-RU"/>
        </w:rPr>
      </w:pPr>
    </w:p>
    <w:p w:rsidR="002A5A9D" w:rsidRPr="003B31F2" w:rsidRDefault="002A5A9D" w:rsidP="002A5A9D">
      <w:pPr>
        <w:rPr>
          <w:rFonts w:cs="Times New Roman"/>
          <w:iCs/>
          <w:color w:val="000000"/>
          <w:szCs w:val="24"/>
          <w:lang w:val="en-US" w:eastAsia="ru-RU"/>
        </w:rPr>
      </w:pPr>
      <w:r w:rsidRPr="003B31F2">
        <w:rPr>
          <w:rFonts w:cs="Times New Roman"/>
          <w:iCs/>
          <w:color w:val="000000"/>
          <w:szCs w:val="24"/>
          <w:lang w:val="en-US" w:eastAsia="ru-RU"/>
        </w:rPr>
        <w:t>Keywords: RIGHTS OF EXTERNAL RELATIONS, CODIFICATION OF RIGHTS OF EXTERNAL RELATIONS, SOURCES OF RIGHTS, BODIES OF EXTERNAL RELATIONS, CONSULAR INSTITUTIONS, CONSULAR SERVICE OF THE REPUBLIC OF BELARUS, BELARUS,</w:t>
      </w:r>
    </w:p>
    <w:p w:rsidR="002A5A9D" w:rsidRPr="003B31F2" w:rsidRDefault="002A5A9D" w:rsidP="002A5A9D">
      <w:pPr>
        <w:rPr>
          <w:rFonts w:cs="Times New Roman"/>
          <w:iCs/>
          <w:color w:val="000000"/>
          <w:szCs w:val="24"/>
          <w:lang w:val="en-US" w:eastAsia="ru-RU"/>
        </w:rPr>
      </w:pPr>
    </w:p>
    <w:p w:rsidR="002A5A9D" w:rsidRPr="003B31F2" w:rsidRDefault="002A5A9D" w:rsidP="002A5A9D">
      <w:pPr>
        <w:rPr>
          <w:rFonts w:cs="Times New Roman"/>
          <w:iCs/>
          <w:color w:val="000000"/>
          <w:szCs w:val="24"/>
          <w:lang w:val="en-US" w:eastAsia="ru-RU"/>
        </w:rPr>
      </w:pPr>
      <w:r w:rsidRPr="003B31F2">
        <w:rPr>
          <w:rFonts w:cs="Times New Roman"/>
          <w:i/>
          <w:iCs/>
          <w:color w:val="000000"/>
          <w:szCs w:val="24"/>
          <w:lang w:val="en-US" w:eastAsia="ru-RU"/>
        </w:rPr>
        <w:t>The object of research</w:t>
      </w:r>
      <w:r w:rsidRPr="003B31F2">
        <w:rPr>
          <w:rFonts w:cs="Times New Roman"/>
          <w:iCs/>
          <w:color w:val="000000"/>
          <w:szCs w:val="24"/>
          <w:lang w:val="en-US" w:eastAsia="ru-RU"/>
        </w:rPr>
        <w:t xml:space="preserve"> is the bodies of external relations of the Republic of Belarus.</w:t>
      </w:r>
    </w:p>
    <w:p w:rsidR="002A5A9D" w:rsidRPr="003B31F2" w:rsidRDefault="002A5A9D" w:rsidP="002A5A9D">
      <w:pPr>
        <w:rPr>
          <w:rFonts w:cs="Times New Roman"/>
          <w:iCs/>
          <w:color w:val="000000"/>
          <w:szCs w:val="24"/>
          <w:lang w:val="en-US" w:eastAsia="ru-RU"/>
        </w:rPr>
      </w:pPr>
      <w:r w:rsidRPr="003B31F2">
        <w:rPr>
          <w:rFonts w:cs="Times New Roman"/>
          <w:i/>
          <w:iCs/>
          <w:color w:val="000000"/>
          <w:szCs w:val="24"/>
          <w:lang w:val="en-US" w:eastAsia="ru-RU"/>
        </w:rPr>
        <w:t>The subject of the study</w:t>
      </w:r>
      <w:r w:rsidRPr="003B31F2">
        <w:rPr>
          <w:rFonts w:cs="Times New Roman"/>
          <w:iCs/>
          <w:color w:val="000000"/>
          <w:szCs w:val="24"/>
          <w:lang w:val="en-US" w:eastAsia="ru-RU"/>
        </w:rPr>
        <w:t xml:space="preserve"> is the consular service of the Republic of Belarus.</w:t>
      </w:r>
    </w:p>
    <w:p w:rsidR="002A5A9D" w:rsidRPr="003B31F2" w:rsidRDefault="002A5A9D" w:rsidP="002A5A9D">
      <w:pPr>
        <w:rPr>
          <w:rFonts w:cs="Times New Roman"/>
          <w:iCs/>
          <w:color w:val="000000"/>
          <w:szCs w:val="24"/>
          <w:lang w:val="en-US" w:eastAsia="ru-RU"/>
        </w:rPr>
      </w:pPr>
      <w:r w:rsidRPr="003B31F2">
        <w:rPr>
          <w:rFonts w:cs="Times New Roman"/>
          <w:i/>
          <w:iCs/>
          <w:color w:val="000000"/>
          <w:szCs w:val="24"/>
          <w:lang w:val="en-US" w:eastAsia="ru-RU"/>
        </w:rPr>
        <w:t>The purpose of the study</w:t>
      </w:r>
      <w:r w:rsidRPr="003B31F2">
        <w:rPr>
          <w:rFonts w:cs="Times New Roman"/>
          <w:iCs/>
          <w:color w:val="000000"/>
          <w:szCs w:val="24"/>
          <w:lang w:val="en-US" w:eastAsia="ru-RU"/>
        </w:rPr>
        <w:t xml:space="preserve"> is to analyze and determine the international legal status and functions of the consular service in the Republic of Belarus.</w:t>
      </w:r>
    </w:p>
    <w:p w:rsidR="002A5A9D" w:rsidRPr="003B31F2" w:rsidRDefault="002A5A9D" w:rsidP="002A5A9D">
      <w:pPr>
        <w:rPr>
          <w:rFonts w:cs="Times New Roman"/>
          <w:iCs/>
          <w:color w:val="000000"/>
          <w:szCs w:val="24"/>
          <w:lang w:val="en-US" w:eastAsia="ru-RU"/>
        </w:rPr>
      </w:pPr>
      <w:r w:rsidRPr="003B31F2">
        <w:rPr>
          <w:rFonts w:cs="Times New Roman"/>
          <w:i/>
          <w:iCs/>
          <w:color w:val="000000"/>
          <w:szCs w:val="24"/>
          <w:lang w:val="en-US" w:eastAsia="ru-RU"/>
        </w:rPr>
        <w:t>Research methods</w:t>
      </w:r>
      <w:r w:rsidRPr="003B31F2">
        <w:rPr>
          <w:rFonts w:cs="Times New Roman"/>
          <w:iCs/>
          <w:color w:val="000000"/>
          <w:szCs w:val="24"/>
          <w:lang w:val="en-US" w:eastAsia="ru-RU"/>
        </w:rPr>
        <w:t>: dialectical method of scientific knowledge; formal logical; comparative legal; system analysis method.</w:t>
      </w:r>
    </w:p>
    <w:p w:rsidR="002A5A9D" w:rsidRPr="003B31F2" w:rsidRDefault="002A5A9D" w:rsidP="002A5A9D">
      <w:pPr>
        <w:rPr>
          <w:rFonts w:cs="Times New Roman"/>
          <w:iCs/>
          <w:color w:val="000000"/>
          <w:szCs w:val="24"/>
          <w:lang w:val="en-US" w:eastAsia="ru-RU"/>
        </w:rPr>
      </w:pPr>
      <w:r w:rsidRPr="003B31F2">
        <w:rPr>
          <w:rFonts w:cs="Times New Roman"/>
          <w:i/>
          <w:iCs/>
          <w:color w:val="000000"/>
          <w:szCs w:val="24"/>
          <w:lang w:val="en-US" w:eastAsia="ru-RU"/>
        </w:rPr>
        <w:t>The practical significance of the study</w:t>
      </w:r>
      <w:r w:rsidRPr="003B31F2">
        <w:rPr>
          <w:rFonts w:cs="Times New Roman"/>
          <w:iCs/>
          <w:color w:val="000000"/>
          <w:szCs w:val="24"/>
          <w:lang w:val="en-US" w:eastAsia="ru-RU"/>
        </w:rPr>
        <w:t xml:space="preserve"> is to achieve the immediate goal of the study, in analyzing the foreign policy of the Republic of Belarus, in general, and the functioning of the apparatus of the diplomatic and consular services, in particular. The materials of the work and the conclusions and suggestions contained therein can find application in research work when studying international legal problems, especially in the field of consular law, as well as in the process of teaching a special course on consular law in law schools and law schools.</w:t>
      </w:r>
    </w:p>
    <w:p w:rsidR="002A5A9D" w:rsidRPr="003B31F2" w:rsidRDefault="002A5A9D" w:rsidP="002A5A9D">
      <w:pPr>
        <w:rPr>
          <w:rFonts w:cs="Times New Roman"/>
          <w:iCs/>
          <w:color w:val="000000"/>
          <w:szCs w:val="24"/>
          <w:lang w:val="en-US" w:eastAsia="ru-RU"/>
        </w:rPr>
      </w:pPr>
      <w:r w:rsidRPr="003B31F2">
        <w:rPr>
          <w:rFonts w:cs="Times New Roman"/>
          <w:i/>
          <w:iCs/>
          <w:color w:val="000000"/>
          <w:szCs w:val="24"/>
          <w:lang w:val="en-US" w:eastAsia="ru-RU"/>
        </w:rPr>
        <w:t>The novelty of the work</w:t>
      </w:r>
      <w:r w:rsidRPr="003B31F2">
        <w:rPr>
          <w:rFonts w:cs="Times New Roman"/>
          <w:iCs/>
          <w:color w:val="000000"/>
          <w:szCs w:val="24"/>
          <w:lang w:val="en-US" w:eastAsia="ru-RU"/>
        </w:rPr>
        <w:t xml:space="preserve"> is determined by the study of the theoretical and conceptual foundations of the consular service; determining the features of the formation, development and legal regulation of the consular service of the Republic of Belarus, as well as the main activities of the consular service of the Republic of Belarus.</w:t>
      </w:r>
    </w:p>
    <w:p w:rsidR="002A5A9D" w:rsidRPr="003B31F2" w:rsidRDefault="002A5A9D" w:rsidP="002A5A9D">
      <w:pPr>
        <w:rPr>
          <w:rFonts w:cs="Times New Roman"/>
          <w:i/>
          <w:color w:val="000000"/>
          <w:szCs w:val="24"/>
          <w:lang w:val="en-US" w:eastAsia="ru-RU"/>
        </w:rPr>
      </w:pPr>
      <w:r w:rsidRPr="003B31F2">
        <w:rPr>
          <w:rFonts w:cs="Times New Roman"/>
          <w:iCs/>
          <w:color w:val="000000"/>
          <w:szCs w:val="24"/>
          <w:lang w:val="en-US" w:eastAsia="ru-RU"/>
        </w:rPr>
        <w:t>The author confirms the accuracy of the materials and the results of the thesis, as well as the independence of its implementation.</w:t>
      </w:r>
    </w:p>
    <w:p w:rsidR="002A5A9D" w:rsidRPr="00D52469" w:rsidRDefault="002A5A9D">
      <w:pPr>
        <w:rPr>
          <w:lang w:val="en-US"/>
        </w:rPr>
      </w:pPr>
    </w:p>
    <w:sectPr w:rsidR="002A5A9D" w:rsidRPr="00D52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9D"/>
    <w:rsid w:val="0018409F"/>
    <w:rsid w:val="002A5A9D"/>
    <w:rsid w:val="00D52469"/>
  </w:rsids>
  <m:mathPr>
    <m:mathFont m:val="Cambria Math"/>
    <m:brkBin m:val="before"/>
    <m:brkBinSub m:val="--"/>
    <m:smallFrac m:val="0"/>
    <m:dispDef/>
    <m:lMargin m:val="0"/>
    <m:rMargin m:val="0"/>
    <m:defJc m:val="centerGroup"/>
    <m:wrapIndent m:val="1440"/>
    <m:intLim m:val="subSup"/>
    <m:naryLim m:val="undOvr"/>
  </m:mathPr>
  <w:themeFontLang w:val="ru-BY" w:bidi="ar-SA"/>
  <w:clrSchemeMapping w:bg1="light1" w:t1="dark1" w:bg2="light2" w:t2="dark2" w:accent1="accent1" w:accent2="accent2" w:accent3="accent3" w:accent4="accent4" w:accent5="accent5" w:accent6="accent6" w:hyperlink="hyperlink" w:followedHyperlink="followedHyperlink"/>
  <w:decimalSymbol w:val=","/>
  <w:listSeparator w:val=";"/>
  <w14:docId w14:val="163E14D3"/>
  <w15:chartTrackingRefBased/>
  <w15:docId w15:val="{EAB93FB4-9C48-C140-9481-38EEE264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A9D"/>
    <w:pPr>
      <w:widowControl w:val="0"/>
      <w:spacing w:line="269" w:lineRule="auto"/>
      <w:ind w:firstLine="709"/>
      <w:jc w:val="both"/>
    </w:pPr>
    <w:rPr>
      <w:rFonts w:ascii="Times New Roman" w:eastAsia="Calibri" w:hAnsi="Times New Roman" w:cs="Arial"/>
      <w:sz w:val="28"/>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dudnyk.maksym@gmail.com</dc:creator>
  <cp:keywords/>
  <dc:description/>
  <cp:lastModifiedBy>dudnyk.maksym@gmail.com</cp:lastModifiedBy>
  <cp:revision>2</cp:revision>
  <dcterms:created xsi:type="dcterms:W3CDTF">2020-06-03T06:31:00Z</dcterms:created>
  <dcterms:modified xsi:type="dcterms:W3CDTF">2020-06-03T07:04:00Z</dcterms:modified>
</cp:coreProperties>
</file>