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04" w:rsidRDefault="00B81E04" w:rsidP="00B81E04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D81772">
        <w:rPr>
          <w:rFonts w:ascii="Times New Roman" w:hAnsi="Times New Roman"/>
          <w:sz w:val="28"/>
          <w:szCs w:val="28"/>
        </w:rPr>
        <w:t>Короткевич, М.П. Ребенок как субъект семейных правоотношений / М.П.</w:t>
      </w:r>
      <w:r w:rsidR="00A5074D">
        <w:rPr>
          <w:rFonts w:ascii="Times New Roman" w:hAnsi="Times New Roman"/>
          <w:sz w:val="28"/>
          <w:szCs w:val="28"/>
          <w:lang w:val="en-US"/>
        </w:rPr>
        <w:t> </w:t>
      </w:r>
      <w:r w:rsidRPr="00D81772">
        <w:rPr>
          <w:rFonts w:ascii="Times New Roman" w:hAnsi="Times New Roman"/>
          <w:sz w:val="28"/>
          <w:szCs w:val="28"/>
        </w:rPr>
        <w:t>Короткевич // Развитие юридической науки в новых условиях: единство теории и практики – 2017: сб</w:t>
      </w:r>
      <w:r>
        <w:rPr>
          <w:rFonts w:ascii="Times New Roman" w:hAnsi="Times New Roman"/>
          <w:sz w:val="28"/>
          <w:szCs w:val="28"/>
        </w:rPr>
        <w:t>.</w:t>
      </w:r>
      <w:r w:rsidRPr="00D81772">
        <w:rPr>
          <w:rFonts w:ascii="Times New Roman" w:hAnsi="Times New Roman"/>
          <w:sz w:val="28"/>
          <w:szCs w:val="28"/>
        </w:rPr>
        <w:t xml:space="preserve"> тез</w:t>
      </w:r>
      <w:r>
        <w:rPr>
          <w:rFonts w:ascii="Times New Roman" w:hAnsi="Times New Roman"/>
          <w:sz w:val="28"/>
          <w:szCs w:val="28"/>
        </w:rPr>
        <w:t>.</w:t>
      </w:r>
      <w:r w:rsidRPr="00D81772">
        <w:rPr>
          <w:rFonts w:ascii="Times New Roman" w:hAnsi="Times New Roman"/>
          <w:sz w:val="28"/>
          <w:szCs w:val="28"/>
        </w:rPr>
        <w:t xml:space="preserve"> Ежегодной международной науч.-</w:t>
      </w:r>
      <w:proofErr w:type="spellStart"/>
      <w:r w:rsidRPr="00D81772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817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1772">
        <w:rPr>
          <w:rFonts w:ascii="Times New Roman" w:hAnsi="Times New Roman"/>
          <w:sz w:val="28"/>
          <w:szCs w:val="28"/>
        </w:rPr>
        <w:t>конф</w:t>
      </w:r>
      <w:proofErr w:type="spellEnd"/>
      <w:r w:rsidRPr="00D81772">
        <w:rPr>
          <w:rFonts w:ascii="Times New Roman" w:hAnsi="Times New Roman"/>
          <w:sz w:val="28"/>
          <w:szCs w:val="28"/>
        </w:rPr>
        <w:t>.;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D81772">
        <w:rPr>
          <w:rFonts w:ascii="Times New Roman" w:hAnsi="Times New Roman"/>
          <w:sz w:val="28"/>
          <w:szCs w:val="28"/>
        </w:rPr>
        <w:t>Ростов</w:t>
      </w:r>
      <w:proofErr w:type="spellEnd"/>
      <w:r w:rsidRPr="00D81772">
        <w:rPr>
          <w:rFonts w:ascii="Times New Roman" w:hAnsi="Times New Roman"/>
          <w:sz w:val="28"/>
          <w:szCs w:val="28"/>
        </w:rPr>
        <w:t>-на-Дону, 20 окт. 2017 г. / Южный Федеральный университет; сост. Е.В.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81772">
        <w:rPr>
          <w:rFonts w:ascii="Times New Roman" w:hAnsi="Times New Roman"/>
          <w:sz w:val="28"/>
          <w:szCs w:val="28"/>
        </w:rPr>
        <w:t xml:space="preserve">Тищенко, А.С. </w:t>
      </w:r>
      <w:proofErr w:type="spellStart"/>
      <w:r w:rsidRPr="00D81772">
        <w:rPr>
          <w:rFonts w:ascii="Times New Roman" w:hAnsi="Times New Roman"/>
          <w:sz w:val="28"/>
          <w:szCs w:val="28"/>
        </w:rPr>
        <w:t>Саядова</w:t>
      </w:r>
      <w:proofErr w:type="spellEnd"/>
      <w:r w:rsidRPr="00D81772">
        <w:rPr>
          <w:rFonts w:ascii="Times New Roman" w:hAnsi="Times New Roman"/>
          <w:sz w:val="28"/>
          <w:szCs w:val="28"/>
        </w:rPr>
        <w:t xml:space="preserve">; отв. ред. И.П. Зиновьев. – </w:t>
      </w:r>
      <w:proofErr w:type="spellStart"/>
      <w:r w:rsidRPr="00D81772">
        <w:rPr>
          <w:rFonts w:ascii="Times New Roman" w:hAnsi="Times New Roman"/>
          <w:sz w:val="28"/>
          <w:szCs w:val="28"/>
        </w:rPr>
        <w:t>Ростов</w:t>
      </w:r>
      <w:proofErr w:type="spellEnd"/>
      <w:r w:rsidRPr="00D81772">
        <w:rPr>
          <w:rFonts w:ascii="Times New Roman" w:hAnsi="Times New Roman"/>
          <w:sz w:val="28"/>
          <w:szCs w:val="28"/>
        </w:rPr>
        <w:t>-на-Дону; Таганрог: Издательство Южного федерального университета, 2</w:t>
      </w:r>
      <w:r>
        <w:rPr>
          <w:rFonts w:ascii="Times New Roman" w:hAnsi="Times New Roman"/>
          <w:sz w:val="28"/>
          <w:szCs w:val="28"/>
        </w:rPr>
        <w:t>017. – С. 227–229</w:t>
      </w:r>
      <w:r>
        <w:rPr>
          <w:rFonts w:ascii="Times New Roman" w:hAnsi="Times New Roman"/>
          <w:sz w:val="28"/>
          <w:szCs w:val="28"/>
        </w:rPr>
        <w:t>.</w:t>
      </w:r>
    </w:p>
    <w:p w:rsidR="00B81E04" w:rsidRDefault="00B81E04" w:rsidP="000E4838">
      <w:pPr>
        <w:spacing w:after="0" w:line="360" w:lineRule="auto"/>
        <w:jc w:val="right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44DAA" w:rsidRPr="00A16F08" w:rsidRDefault="00BF4A1E" w:rsidP="000E4838">
      <w:pPr>
        <w:spacing w:after="0" w:line="360" w:lineRule="auto"/>
        <w:jc w:val="right"/>
        <w:rPr>
          <w:rFonts w:ascii="Times New Roman" w:eastAsiaTheme="minorHAnsi" w:hAnsi="Times New Roman" w:cstheme="minorBidi"/>
          <w:b/>
          <w:sz w:val="28"/>
          <w:szCs w:val="28"/>
        </w:rPr>
      </w:pPr>
      <w:r w:rsidRPr="00A16F08">
        <w:rPr>
          <w:rFonts w:ascii="Times New Roman" w:eastAsiaTheme="minorHAnsi" w:hAnsi="Times New Roman" w:cstheme="minorBidi"/>
          <w:b/>
          <w:sz w:val="28"/>
          <w:szCs w:val="28"/>
        </w:rPr>
        <w:t xml:space="preserve">М.П. </w:t>
      </w:r>
      <w:r w:rsidR="00D44DAA" w:rsidRPr="00A16F08">
        <w:rPr>
          <w:rFonts w:ascii="Times New Roman" w:eastAsiaTheme="minorHAnsi" w:hAnsi="Times New Roman" w:cstheme="minorBidi"/>
          <w:b/>
          <w:sz w:val="28"/>
          <w:szCs w:val="28"/>
        </w:rPr>
        <w:t xml:space="preserve">Короткевич </w:t>
      </w:r>
    </w:p>
    <w:p w:rsidR="00D44DAA" w:rsidRPr="00A16F08" w:rsidRDefault="00D44DAA" w:rsidP="000E4838">
      <w:pPr>
        <w:spacing w:after="0" w:line="360" w:lineRule="auto"/>
        <w:ind w:firstLine="454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A16F08">
        <w:rPr>
          <w:rFonts w:ascii="Times New Roman" w:eastAsiaTheme="minorHAnsi" w:hAnsi="Times New Roman" w:cstheme="minorBidi"/>
          <w:sz w:val="28"/>
          <w:szCs w:val="28"/>
        </w:rPr>
        <w:t xml:space="preserve">кандидат </w:t>
      </w:r>
      <w:proofErr w:type="spellStart"/>
      <w:r w:rsidRPr="00A16F08">
        <w:rPr>
          <w:rFonts w:ascii="Times New Roman" w:eastAsiaTheme="minorHAnsi" w:hAnsi="Times New Roman" w:cstheme="minorBidi"/>
          <w:sz w:val="28"/>
          <w:szCs w:val="28"/>
        </w:rPr>
        <w:t>юрид</w:t>
      </w:r>
      <w:proofErr w:type="spellEnd"/>
      <w:r w:rsidR="00BF4A1E" w:rsidRPr="00A16F08">
        <w:rPr>
          <w:rFonts w:ascii="Times New Roman" w:eastAsiaTheme="minorHAnsi" w:hAnsi="Times New Roman" w:cstheme="minorBidi"/>
          <w:sz w:val="28"/>
          <w:szCs w:val="28"/>
        </w:rPr>
        <w:t>.</w:t>
      </w:r>
      <w:r w:rsidRPr="00A16F08">
        <w:rPr>
          <w:rFonts w:ascii="Times New Roman" w:eastAsiaTheme="minorHAnsi" w:hAnsi="Times New Roman" w:cstheme="minorBidi"/>
          <w:sz w:val="28"/>
          <w:szCs w:val="28"/>
        </w:rPr>
        <w:t xml:space="preserve"> н</w:t>
      </w:r>
      <w:bookmarkStart w:id="0" w:name="_GoBack"/>
      <w:bookmarkEnd w:id="0"/>
      <w:r w:rsidRPr="00A16F08">
        <w:rPr>
          <w:rFonts w:ascii="Times New Roman" w:eastAsiaTheme="minorHAnsi" w:hAnsi="Times New Roman" w:cstheme="minorBidi"/>
          <w:sz w:val="28"/>
          <w:szCs w:val="28"/>
        </w:rPr>
        <w:t>аук, доцент</w:t>
      </w:r>
    </w:p>
    <w:p w:rsidR="00D44DAA" w:rsidRPr="00A16F08" w:rsidRDefault="00BF4A1E" w:rsidP="000E4838">
      <w:pPr>
        <w:spacing w:after="0" w:line="360" w:lineRule="auto"/>
        <w:ind w:firstLine="454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A16F08">
        <w:rPr>
          <w:rFonts w:ascii="Times New Roman" w:eastAsiaTheme="minorHAnsi" w:hAnsi="Times New Roman" w:cstheme="minorBidi"/>
          <w:sz w:val="28"/>
          <w:szCs w:val="28"/>
        </w:rPr>
        <w:t>(</w:t>
      </w:r>
      <w:r w:rsidR="00D44DAA" w:rsidRPr="00A16F08">
        <w:rPr>
          <w:rFonts w:ascii="Times New Roman" w:eastAsiaTheme="minorHAnsi" w:hAnsi="Times New Roman" w:cstheme="minorBidi"/>
          <w:sz w:val="28"/>
          <w:szCs w:val="28"/>
        </w:rPr>
        <w:t>Белорусск</w:t>
      </w:r>
      <w:r w:rsidRPr="00A16F08">
        <w:rPr>
          <w:rFonts w:ascii="Times New Roman" w:eastAsiaTheme="minorHAnsi" w:hAnsi="Times New Roman" w:cstheme="minorBidi"/>
          <w:sz w:val="28"/>
          <w:szCs w:val="28"/>
        </w:rPr>
        <w:t>ий</w:t>
      </w:r>
      <w:r w:rsidR="00D44DAA" w:rsidRPr="00A16F08">
        <w:rPr>
          <w:rFonts w:ascii="Times New Roman" w:eastAsiaTheme="minorHAnsi" w:hAnsi="Times New Roman" w:cstheme="minorBidi"/>
          <w:sz w:val="28"/>
          <w:szCs w:val="28"/>
        </w:rPr>
        <w:t xml:space="preserve"> государственн</w:t>
      </w:r>
      <w:r w:rsidRPr="00A16F08">
        <w:rPr>
          <w:rFonts w:ascii="Times New Roman" w:eastAsiaTheme="minorHAnsi" w:hAnsi="Times New Roman" w:cstheme="minorBidi"/>
          <w:sz w:val="28"/>
          <w:szCs w:val="28"/>
        </w:rPr>
        <w:t>ый университет)</w:t>
      </w:r>
      <w:r w:rsidR="00D44DAA" w:rsidRPr="00A16F0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8C1444" w:rsidRPr="00A16F08" w:rsidRDefault="008C1444" w:rsidP="000E483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9C0" w:rsidRPr="00A16F08" w:rsidRDefault="00FF09C0" w:rsidP="000E483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6F08">
        <w:rPr>
          <w:rFonts w:ascii="Times New Roman" w:hAnsi="Times New Roman"/>
          <w:b/>
          <w:caps/>
          <w:sz w:val="28"/>
          <w:szCs w:val="28"/>
        </w:rPr>
        <w:t>Ребенок как субъект семейных правоотношений</w:t>
      </w:r>
    </w:p>
    <w:p w:rsidR="00751B1C" w:rsidRPr="00A16F08" w:rsidRDefault="00751B1C" w:rsidP="000E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150" w:rsidRPr="00A16F08" w:rsidRDefault="00167D8C" w:rsidP="000E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08">
        <w:rPr>
          <w:rFonts w:ascii="Times New Roman" w:hAnsi="Times New Roman"/>
          <w:sz w:val="28"/>
          <w:szCs w:val="28"/>
        </w:rPr>
        <w:t>В Республике Беларусь в отношении детства проводится государственная политика, направленная на создание условий для соблюдения прав детей, оказания им необходимой помощи и поддержки со стороны общества и государства, дальнейшего улучшения их положения. Законодательство Республики Беларусь, регулирующее правовое положение детей, в полной мере учитывают современные позиции мирового сообщества и соответствующие международные документы. В настоящее время наиболее широко признанным международным документом, закрепляющим права детей, является Конвенция ООН «О правах ребенка», которая была заключена в г. Нью-Йорке 20.11.1989 г. В конвенции 1989 г. заложено два основополагающих принципа: ребенок является самостоятельным субъектом права; приоритетность интересов детей перед потребностями семьи, общества, религии</w:t>
      </w:r>
      <w:r w:rsidR="00763150" w:rsidRPr="00A16F08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A16F08">
        <w:rPr>
          <w:rFonts w:ascii="Times New Roman" w:hAnsi="Times New Roman"/>
          <w:sz w:val="28"/>
          <w:szCs w:val="28"/>
        </w:rPr>
        <w:t xml:space="preserve">. В Конвенции закрепляются различные гражданские, политические, экономические, социальные и культурные права ребенка. Республика Беларусь ратифицировала данную Конвенцию в 1990 г. Внутреннее законодательство Республики Беларусь определяет правовой статус ребенка с учетом положений </w:t>
      </w:r>
      <w:r w:rsidRPr="00A16F08">
        <w:rPr>
          <w:rFonts w:ascii="Times New Roman" w:hAnsi="Times New Roman"/>
          <w:sz w:val="28"/>
          <w:szCs w:val="28"/>
        </w:rPr>
        <w:lastRenderedPageBreak/>
        <w:t>данной Конвенции.</w:t>
      </w:r>
      <w:r w:rsidR="00973C85" w:rsidRPr="00A16F08">
        <w:rPr>
          <w:rFonts w:ascii="Times New Roman" w:hAnsi="Times New Roman"/>
          <w:sz w:val="28"/>
          <w:szCs w:val="28"/>
        </w:rPr>
        <w:t xml:space="preserve"> </w:t>
      </w:r>
      <w:r w:rsidR="00744B21" w:rsidRPr="00A16F08">
        <w:rPr>
          <w:rFonts w:ascii="Times New Roman" w:hAnsi="Times New Roman"/>
          <w:sz w:val="28"/>
          <w:szCs w:val="28"/>
        </w:rPr>
        <w:t>В Конституции Республики Беларусь</w:t>
      </w:r>
      <w:r w:rsidR="000E2B82" w:rsidRPr="00A16F08">
        <w:rPr>
          <w:rStyle w:val="a7"/>
          <w:rFonts w:ascii="Times New Roman" w:hAnsi="Times New Roman"/>
          <w:sz w:val="28"/>
          <w:szCs w:val="28"/>
        </w:rPr>
        <w:footnoteReference w:id="2"/>
      </w:r>
      <w:r w:rsidR="00744B21" w:rsidRPr="00A16F08">
        <w:rPr>
          <w:rFonts w:ascii="Times New Roman" w:hAnsi="Times New Roman"/>
          <w:sz w:val="28"/>
          <w:szCs w:val="28"/>
        </w:rPr>
        <w:t xml:space="preserve">, Законе Республики Беларусь </w:t>
      </w:r>
      <w:r w:rsidR="00361DF4">
        <w:rPr>
          <w:rFonts w:ascii="Times New Roman" w:hAnsi="Times New Roman"/>
          <w:sz w:val="28"/>
          <w:szCs w:val="28"/>
        </w:rPr>
        <w:t xml:space="preserve">от </w:t>
      </w:r>
      <w:r w:rsidR="00361DF4" w:rsidRPr="00A16F08">
        <w:rPr>
          <w:rFonts w:ascii="Times New Roman" w:hAnsi="Times New Roman"/>
          <w:sz w:val="28"/>
          <w:szCs w:val="28"/>
        </w:rPr>
        <w:t xml:space="preserve">19.11.1993 </w:t>
      </w:r>
      <w:r w:rsidR="00744B21" w:rsidRPr="00A16F08">
        <w:rPr>
          <w:rFonts w:ascii="Times New Roman" w:hAnsi="Times New Roman"/>
          <w:sz w:val="28"/>
          <w:szCs w:val="28"/>
        </w:rPr>
        <w:t>«О правах ребенка»</w:t>
      </w:r>
      <w:r w:rsidR="00973C85" w:rsidRPr="00A16F08">
        <w:rPr>
          <w:rStyle w:val="a7"/>
          <w:rFonts w:ascii="Times New Roman" w:hAnsi="Times New Roman"/>
          <w:sz w:val="28"/>
          <w:szCs w:val="28"/>
        </w:rPr>
        <w:footnoteReference w:id="3"/>
      </w:r>
      <w:r w:rsidR="00744B21" w:rsidRPr="00A16F08">
        <w:rPr>
          <w:rFonts w:ascii="Times New Roman" w:hAnsi="Times New Roman"/>
          <w:sz w:val="28"/>
          <w:szCs w:val="28"/>
        </w:rPr>
        <w:t xml:space="preserve"> закреплены основополагающие, наиболее важные права ребенка. Кодекс Республики Беларусь о браке и семье</w:t>
      </w:r>
      <w:r w:rsidR="00484C1F" w:rsidRPr="00A16F08">
        <w:rPr>
          <w:rStyle w:val="a7"/>
          <w:rFonts w:ascii="Times New Roman" w:hAnsi="Times New Roman"/>
          <w:sz w:val="28"/>
          <w:szCs w:val="28"/>
        </w:rPr>
        <w:footnoteReference w:id="4"/>
      </w:r>
      <w:r w:rsidR="00744B21" w:rsidRPr="00A16F08">
        <w:rPr>
          <w:rFonts w:ascii="Times New Roman" w:hAnsi="Times New Roman"/>
          <w:sz w:val="28"/>
          <w:szCs w:val="28"/>
        </w:rPr>
        <w:t xml:space="preserve"> (далее – КоБС) содержит раздел IV «Охрана детства», посвященный правам детей. </w:t>
      </w:r>
      <w:r w:rsidR="00740D50" w:rsidRPr="00A16F08">
        <w:rPr>
          <w:rFonts w:ascii="Times New Roman" w:hAnsi="Times New Roman"/>
          <w:sz w:val="28"/>
          <w:szCs w:val="28"/>
        </w:rPr>
        <w:t xml:space="preserve">Особенности правового статуса ребенка находят свое отражение в нормах КоБС, закрепляющих вопросы </w:t>
      </w:r>
      <w:r w:rsidR="00A84983" w:rsidRPr="00A16F08">
        <w:rPr>
          <w:rFonts w:ascii="Times New Roman" w:hAnsi="Times New Roman"/>
          <w:sz w:val="28"/>
          <w:szCs w:val="28"/>
        </w:rPr>
        <w:t>осуществления</w:t>
      </w:r>
      <w:r w:rsidR="00740D50" w:rsidRPr="00A16F08">
        <w:rPr>
          <w:rFonts w:ascii="Times New Roman" w:hAnsi="Times New Roman"/>
          <w:sz w:val="28"/>
          <w:szCs w:val="28"/>
        </w:rPr>
        <w:t xml:space="preserve"> прав </w:t>
      </w:r>
      <w:r w:rsidR="00B228B4" w:rsidRPr="00A16F08">
        <w:rPr>
          <w:rFonts w:ascii="Times New Roman" w:hAnsi="Times New Roman"/>
          <w:sz w:val="28"/>
          <w:szCs w:val="28"/>
        </w:rPr>
        <w:t xml:space="preserve">детьми </w:t>
      </w:r>
      <w:r w:rsidR="00740D50" w:rsidRPr="00A16F08">
        <w:rPr>
          <w:rFonts w:ascii="Times New Roman" w:hAnsi="Times New Roman"/>
          <w:sz w:val="28"/>
          <w:szCs w:val="28"/>
        </w:rPr>
        <w:t xml:space="preserve">в семейных правоотношениях. </w:t>
      </w:r>
      <w:r w:rsidR="00744B21" w:rsidRPr="00A16F08">
        <w:rPr>
          <w:rFonts w:ascii="Times New Roman" w:hAnsi="Times New Roman"/>
          <w:sz w:val="28"/>
          <w:szCs w:val="28"/>
        </w:rPr>
        <w:t xml:space="preserve">Рассмотрим </w:t>
      </w:r>
      <w:r w:rsidR="00763150" w:rsidRPr="00A16F08">
        <w:rPr>
          <w:rFonts w:ascii="Times New Roman" w:hAnsi="Times New Roman"/>
          <w:sz w:val="28"/>
          <w:szCs w:val="28"/>
        </w:rPr>
        <w:t xml:space="preserve">особенности </w:t>
      </w:r>
      <w:r w:rsidR="00EC50E0" w:rsidRPr="00A16F08">
        <w:rPr>
          <w:rFonts w:ascii="Times New Roman" w:hAnsi="Times New Roman"/>
          <w:sz w:val="28"/>
          <w:szCs w:val="28"/>
        </w:rPr>
        <w:t xml:space="preserve">семейной правоспособности и семейной дееспособности </w:t>
      </w:r>
      <w:r w:rsidR="00763150" w:rsidRPr="00A16F08">
        <w:rPr>
          <w:rFonts w:ascii="Times New Roman" w:hAnsi="Times New Roman"/>
          <w:sz w:val="28"/>
          <w:szCs w:val="28"/>
        </w:rPr>
        <w:t>ребенк</w:t>
      </w:r>
      <w:r w:rsidR="00EC50E0" w:rsidRPr="00A16F08">
        <w:rPr>
          <w:rFonts w:ascii="Times New Roman" w:hAnsi="Times New Roman"/>
          <w:sz w:val="28"/>
          <w:szCs w:val="28"/>
        </w:rPr>
        <w:t>а</w:t>
      </w:r>
      <w:r w:rsidR="00763150" w:rsidRPr="00A16F08">
        <w:rPr>
          <w:rFonts w:ascii="Times New Roman" w:hAnsi="Times New Roman"/>
          <w:sz w:val="28"/>
          <w:szCs w:val="28"/>
        </w:rPr>
        <w:t>.</w:t>
      </w:r>
    </w:p>
    <w:p w:rsidR="00167D8C" w:rsidRPr="00A16F08" w:rsidRDefault="00167D8C" w:rsidP="000E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F08">
        <w:rPr>
          <w:rFonts w:ascii="Times New Roman" w:hAnsi="Times New Roman"/>
          <w:sz w:val="28"/>
          <w:szCs w:val="28"/>
        </w:rPr>
        <w:t>Определение понятия ребенка дается в Конвенции ООН «О правах ребенка»: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 (ст. 1). Аналогичное определение закреплено в Законе Республики Беларусь «О правах ребенка»: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 (ст. 1).</w:t>
      </w:r>
    </w:p>
    <w:p w:rsidR="00011423" w:rsidRPr="00A16F08" w:rsidRDefault="00462EC3" w:rsidP="000E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семейных правоотношений обладают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семейной правоспособностью.</w:t>
      </w:r>
      <w:r w:rsidR="004D5212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</w:t>
      </w:r>
      <w:r w:rsidR="004D5212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ученых в области семейного права, семейная правоспособность возникает у человека с момента рождения, но ее объем меняется с возрастом субъекта семейного правоотношения</w:t>
      </w:r>
      <w:r w:rsidR="00011423" w:rsidRPr="00A16F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="004D5212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12D0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заключение следует из того, что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некоторые правовые возмож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ности, входящие в состав правоспособности, такие, как способ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ность к вступлению в брак, усыновлению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(удочерению), способность быть назначенным опекуном или попечителем, не могут до опреде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ленного возраста осуществляться ни действиями самого субъ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екта права, ни действи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ями его законных представителей</w:t>
      </w:r>
      <w:r w:rsidR="00011423" w:rsidRPr="00A16F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27" w:rsidRPr="00A16F08" w:rsidRDefault="00462EC3" w:rsidP="00751B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семейных правоотношений можно назвать то, что наличие семейной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дееспособности не является </w:t>
      </w:r>
      <w:r w:rsidR="00F03474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для </w:t>
      </w:r>
      <w:r w:rsidR="00B64BF3" w:rsidRPr="00A16F08">
        <w:rPr>
          <w:rFonts w:ascii="Times New Roman" w:eastAsia="Times New Roman" w:hAnsi="Times New Roman"/>
          <w:sz w:val="28"/>
          <w:szCs w:val="28"/>
          <w:lang w:eastAsia="ru-RU"/>
        </w:rPr>
        <w:t>некоторых</w:t>
      </w:r>
      <w:r w:rsidR="00F03474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правоотношений, отсутствие</w:t>
      </w:r>
      <w:r w:rsidR="00B64BF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дееспособности не нуждается в восполнении, 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в частности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4BF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правоотношения</w:t>
      </w:r>
      <w:r w:rsidR="00B64BF3" w:rsidRPr="00A16F0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родителями и </w:t>
      </w:r>
      <w:r w:rsidR="00FF32CD" w:rsidRPr="00A16F0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несовершеннолетними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</w:t>
      </w:r>
      <w:r w:rsidR="00B64BF3" w:rsidRPr="00A16F08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7"/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474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То есть, в правоотношениях с родителями дети не обладают полной се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мейной дееспособностью, но являются самостоятельными носителями прав, предусмотренных КоБС.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других правоотношениях, </w:t>
      </w:r>
      <w:r w:rsidR="00D65742" w:rsidRPr="00A16F08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алиментных, одна из сторон может </w:t>
      </w:r>
      <w:r w:rsidR="00D65742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обладать семейной дееспособностью,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но ее дееспособность </w:t>
      </w:r>
      <w:r w:rsidR="00D65742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восполняется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действиями законных представителей</w:t>
      </w:r>
      <w:r w:rsidR="00CC24F6" w:rsidRPr="00A16F08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7328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случае реализация семейных прав ребенка полностью зависит от волеизъявления его законного представителя (в частности, заявлять 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нет </w:t>
      </w:r>
      <w:r w:rsidR="00BA7328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о взыскании алиментов на содержание ребенка </w:t>
      </w:r>
      <w:r w:rsidR="00BA7328" w:rsidRPr="00A16F08">
        <w:rPr>
          <w:rFonts w:ascii="Times New Roman" w:eastAsia="Times New Roman" w:hAnsi="Times New Roman"/>
          <w:sz w:val="28"/>
          <w:szCs w:val="28"/>
          <w:lang w:eastAsia="ru-RU"/>
        </w:rPr>
        <w:t>к родителю, не участвующему в содержании ребенка).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>Однако в некоторых случаях, при отказе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, уклонения 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от реализации своих прав и обязанностей как участника родительских правоотношений 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прав и законных интересов детей (ст. 68 КоБС)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>, уклонению от выполнения своих обязанностей по воспитанию ребенка, осуществлению ухода и надзора за ним, злоупотреблении родительскими правами, жестоком обращении с ребенком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>, возможно вмешательство государства в лице уполномоченных органов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(ст. 80, ст. 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85, 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85 </w:t>
      </w:r>
      <w:r w:rsidR="00CC24F6" w:rsidRPr="00A16F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CC24F6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КоБС)</w:t>
      </w:r>
      <w:r w:rsidR="00BB0227" w:rsidRPr="00A16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07E" w:rsidRPr="00A16F08" w:rsidRDefault="00C7007E" w:rsidP="000E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Для некоторых правоотношений необходимо волеизъявление несовершеннолетних. Например, требуется согласие ребенка, достигшего 6-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летнего возраста, на изменение его собственного имени (ст. 71 КоБС), с 10 лет ребенок дает согласие на усыновление (удочерение) (ст. 130 КоБС), на передачу в приемную семью, детский дом семейного типа (ст. 173 КоБС) (такое согласие следует рассматривать как семейно-правовой акт); с 14 лет ребенок имеет право требовать отмены усыновления (удочерения) в суде (ст. 139 КоБС) и др. Поэтому с</w:t>
      </w:r>
      <w:r w:rsidR="00751B1C" w:rsidRPr="00A16F08">
        <w:rPr>
          <w:rFonts w:ascii="Times New Roman" w:eastAsia="Times New Roman" w:hAnsi="Times New Roman"/>
          <w:sz w:val="28"/>
          <w:szCs w:val="28"/>
          <w:lang w:eastAsia="ru-RU"/>
        </w:rPr>
        <w:t>пецификой семейной дееспособности ребенка можно назвать частичную дееспособность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ребенка.</w:t>
      </w:r>
    </w:p>
    <w:p w:rsidR="00FF32CD" w:rsidRPr="00A16F08" w:rsidRDefault="008E20A2" w:rsidP="000E48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893D55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</w:t>
      </w:r>
      <w:r w:rsidR="00334B86" w:rsidRPr="00A16F08">
        <w:rPr>
          <w:rFonts w:ascii="Times New Roman" w:eastAsia="Times New Roman" w:hAnsi="Times New Roman"/>
          <w:sz w:val="28"/>
          <w:szCs w:val="28"/>
          <w:lang w:eastAsia="ru-RU"/>
        </w:rPr>
        <w:t>учитывать, что о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семейной дееспособности </w:t>
      </w:r>
      <w:r w:rsidR="003718DD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несовершеннолетнего </w:t>
      </w:r>
      <w:r w:rsidR="00011423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определенной мере зависит от объема гражданской дееспособности. </w:t>
      </w:r>
      <w:r w:rsidR="00FF32CD" w:rsidRPr="00A16F08">
        <w:rPr>
          <w:rFonts w:ascii="Times New Roman" w:eastAsia="Times New Roman" w:hAnsi="Times New Roman"/>
          <w:sz w:val="28"/>
          <w:szCs w:val="28"/>
          <w:lang w:eastAsia="ru-RU"/>
        </w:rPr>
        <w:t>Приобретение гражданской дееспособности</w:t>
      </w:r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</w:t>
      </w:r>
      <w:r w:rsidR="00FF32CD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 </w:t>
      </w:r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>позволяет субъекту семейного права стать усыновителем (</w:t>
      </w:r>
      <w:proofErr w:type="spellStart"/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>удочерителем</w:t>
      </w:r>
      <w:proofErr w:type="spellEnd"/>
      <w:r w:rsidR="00D76F1D" w:rsidRPr="00A16F08">
        <w:rPr>
          <w:rFonts w:ascii="Times New Roman" w:eastAsia="Times New Roman" w:hAnsi="Times New Roman"/>
          <w:sz w:val="28"/>
          <w:szCs w:val="28"/>
          <w:lang w:eastAsia="ru-RU"/>
        </w:rPr>
        <w:t>) (ст. </w:t>
      </w:r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125 КоБС), опекуном, попечителем (ст. 153 КоБС), </w:t>
      </w:r>
      <w:r w:rsidR="00D76F1D" w:rsidRPr="00A16F08">
        <w:rPr>
          <w:rFonts w:ascii="Times New Roman" w:eastAsia="Times New Roman" w:hAnsi="Times New Roman"/>
          <w:sz w:val="28"/>
          <w:szCs w:val="28"/>
          <w:lang w:eastAsia="ru-RU"/>
        </w:rPr>
        <w:t>приемным родителем (ст. </w:t>
      </w:r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>172 КоБС), заключить соглашение об уплате алиментов на содержание несовершеннолетних и (или) совершеннолетних нетрудоспособных детей (ст. 103</w:t>
      </w:r>
      <w:r w:rsidR="0013090C" w:rsidRPr="00A16F0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3090C"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КоБС), самостоятельно воспитывать своего ребенка, защищать его права (ст. 75 КоБС).</w:t>
      </w:r>
    </w:p>
    <w:p w:rsidR="000D51CB" w:rsidRPr="00A16F08" w:rsidRDefault="00F74E4A" w:rsidP="000D51C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Таким образом, в семейных правоотношениях реализуется принцип самостоятельности ребенка как субъекта </w:t>
      </w:r>
      <w:r w:rsidR="000D51CB" w:rsidRPr="00A16F08">
        <w:rPr>
          <w:rFonts w:ascii="Times New Roman" w:hAnsi="Times New Roman"/>
          <w:bCs/>
          <w:sz w:val="28"/>
          <w:szCs w:val="28"/>
          <w:lang w:eastAsia="ru-RU"/>
        </w:rPr>
        <w:t>семейных правоотношений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>. Однако возраст ребенка, невозможност</w:t>
      </w:r>
      <w:r w:rsidR="000D51CB" w:rsidRPr="00A16F0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="0046587D" w:rsidRPr="00A16F08">
        <w:rPr>
          <w:rFonts w:ascii="Times New Roman" w:hAnsi="Times New Roman"/>
          <w:bCs/>
          <w:sz w:val="28"/>
          <w:szCs w:val="28"/>
          <w:lang w:eastAsia="ru-RU"/>
        </w:rPr>
        <w:t>полной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 мере реализовывать свои права предопределя</w:t>
      </w:r>
      <w:r w:rsidR="000D51CB" w:rsidRPr="00A16F08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="0046587D" w:rsidRPr="00A16F08">
        <w:rPr>
          <w:rFonts w:ascii="Times New Roman" w:hAnsi="Times New Roman"/>
          <w:bCs/>
          <w:sz w:val="28"/>
          <w:szCs w:val="28"/>
          <w:lang w:eastAsia="ru-RU"/>
        </w:rPr>
        <w:t>зависимость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реализации его прав от волеизъявления его законных </w:t>
      </w:r>
      <w:r w:rsidR="0046587D" w:rsidRPr="00A16F08"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62AE4" w:rsidRPr="00A16F08">
        <w:rPr>
          <w:rFonts w:ascii="Times New Roman" w:hAnsi="Times New Roman"/>
          <w:bCs/>
          <w:sz w:val="28"/>
          <w:szCs w:val="28"/>
          <w:lang w:eastAsia="ru-RU"/>
        </w:rPr>
        <w:t>В одних семейных правоотношениях реализация прав ребенка может быть оставлена на усмотрение их законных представителей (алиментные отношения). В других семейных правоотношениях, п</w:t>
      </w:r>
      <w:r w:rsidR="000D51CB" w:rsidRPr="00A16F08">
        <w:rPr>
          <w:rFonts w:ascii="Times New Roman" w:hAnsi="Times New Roman"/>
          <w:bCs/>
          <w:sz w:val="28"/>
          <w:szCs w:val="28"/>
          <w:lang w:eastAsia="ru-RU"/>
        </w:rPr>
        <w:t>ри неверном представлении законных представителей о потребностях ребенка, злоупотреблении законными представителями ребенка своими правами</w:t>
      </w:r>
      <w:r w:rsidR="00862AE4" w:rsidRPr="00A16F0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0D51CB" w:rsidRPr="00A16F08">
        <w:rPr>
          <w:rFonts w:ascii="Times New Roman" w:hAnsi="Times New Roman"/>
          <w:bCs/>
          <w:sz w:val="28"/>
          <w:szCs w:val="28"/>
          <w:lang w:eastAsia="ru-RU"/>
        </w:rPr>
        <w:t xml:space="preserve"> защита прав и законных интересов ребенка может обеспечиваться государством в лице уполномоченных органов.</w:t>
      </w:r>
    </w:p>
    <w:sectPr w:rsidR="000D51CB" w:rsidRPr="00A16F08" w:rsidSect="00D44D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D4" w:rsidRDefault="00A926D4" w:rsidP="00011423">
      <w:pPr>
        <w:spacing w:after="0" w:line="240" w:lineRule="auto"/>
      </w:pPr>
      <w:r>
        <w:separator/>
      </w:r>
    </w:p>
  </w:endnote>
  <w:endnote w:type="continuationSeparator" w:id="0">
    <w:p w:rsidR="00A926D4" w:rsidRDefault="00A926D4" w:rsidP="000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D4" w:rsidRDefault="00A926D4" w:rsidP="00011423">
      <w:pPr>
        <w:spacing w:after="0" w:line="240" w:lineRule="auto"/>
      </w:pPr>
      <w:r>
        <w:separator/>
      </w:r>
    </w:p>
  </w:footnote>
  <w:footnote w:type="continuationSeparator" w:id="0">
    <w:p w:rsidR="00A926D4" w:rsidRDefault="00A926D4" w:rsidP="00011423">
      <w:pPr>
        <w:spacing w:after="0" w:line="240" w:lineRule="auto"/>
      </w:pPr>
      <w:r>
        <w:continuationSeparator/>
      </w:r>
    </w:p>
  </w:footnote>
  <w:footnote w:id="1">
    <w:p w:rsidR="00763150" w:rsidRPr="00271D99" w:rsidRDefault="00763150" w:rsidP="00271D99">
      <w:pPr>
        <w:pStyle w:val="a5"/>
        <w:jc w:val="both"/>
        <w:rPr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Абрамов, В.И. Правовое закрепление прав детей и гарантии их </w:t>
      </w:r>
      <w:r w:rsidR="00751B1C" w:rsidRPr="00271D99">
        <w:rPr>
          <w:sz w:val="24"/>
          <w:szCs w:val="24"/>
        </w:rPr>
        <w:t>осуществления</w:t>
      </w:r>
      <w:r w:rsidRPr="00271D99">
        <w:rPr>
          <w:sz w:val="24"/>
          <w:szCs w:val="24"/>
        </w:rPr>
        <w:t xml:space="preserve"> / В.И. Абрамов // Международное публичное и частное право. – 2004. – № 4. – С. 35.</w:t>
      </w:r>
    </w:p>
  </w:footnote>
  <w:footnote w:id="2">
    <w:p w:rsidR="000E2B82" w:rsidRPr="00271D99" w:rsidRDefault="000E2B82" w:rsidP="00271D99">
      <w:pPr>
        <w:pStyle w:val="a5"/>
        <w:jc w:val="both"/>
        <w:rPr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</w:t>
      </w:r>
      <w:proofErr w:type="spellStart"/>
      <w:r w:rsidRPr="00271D99">
        <w:rPr>
          <w:sz w:val="24"/>
          <w:szCs w:val="24"/>
        </w:rPr>
        <w:t>Амалфея</w:t>
      </w:r>
      <w:proofErr w:type="spellEnd"/>
      <w:r w:rsidRPr="00271D99">
        <w:rPr>
          <w:sz w:val="24"/>
          <w:szCs w:val="24"/>
        </w:rPr>
        <w:t>, 2005. – 48 с.</w:t>
      </w:r>
    </w:p>
  </w:footnote>
  <w:footnote w:id="3">
    <w:p w:rsidR="00973C85" w:rsidRPr="00271D99" w:rsidRDefault="00973C85" w:rsidP="00271D99">
      <w:pPr>
        <w:pStyle w:val="a5"/>
        <w:jc w:val="both"/>
        <w:rPr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О правах ребенка: Закон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 xml:space="preserve"> Беларусь, 19.11.1993, № 2570-XII: в ред. Закона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 xml:space="preserve">. Беларусь от 25.10.2000 № 440-З // Эталон-Беларусь [Электрон. ресурс] / Нац. центр правовой </w:t>
      </w:r>
      <w:proofErr w:type="spellStart"/>
      <w:r w:rsidRPr="00271D99">
        <w:rPr>
          <w:sz w:val="24"/>
          <w:szCs w:val="24"/>
        </w:rPr>
        <w:t>информ</w:t>
      </w:r>
      <w:proofErr w:type="spellEnd"/>
      <w:r w:rsidRPr="00271D99">
        <w:rPr>
          <w:sz w:val="24"/>
          <w:szCs w:val="24"/>
        </w:rPr>
        <w:t xml:space="preserve">.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>. Беларусь. – Минск, 2017.</w:t>
      </w:r>
    </w:p>
  </w:footnote>
  <w:footnote w:id="4">
    <w:p w:rsidR="00484C1F" w:rsidRPr="00271D99" w:rsidRDefault="00484C1F" w:rsidP="00271D99">
      <w:pPr>
        <w:pStyle w:val="a5"/>
        <w:jc w:val="both"/>
        <w:rPr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Кодекс Республики Беларусь о браке и семье: Закон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 xml:space="preserve">. Беларусь, 9 июля 1999 г., № 278-З: принят Палатой представителей 3 июня 1999 г.: одобрен Советом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 xml:space="preserve">. 24 июня 1999 г. // Эталон-Беларусь [Электрон. ресурс] / Нац. центр правовой </w:t>
      </w:r>
      <w:proofErr w:type="spellStart"/>
      <w:r w:rsidRPr="00271D99">
        <w:rPr>
          <w:sz w:val="24"/>
          <w:szCs w:val="24"/>
        </w:rPr>
        <w:t>информ</w:t>
      </w:r>
      <w:proofErr w:type="spellEnd"/>
      <w:r w:rsidRPr="00271D99">
        <w:rPr>
          <w:sz w:val="24"/>
          <w:szCs w:val="24"/>
        </w:rPr>
        <w:t xml:space="preserve">. </w:t>
      </w:r>
      <w:proofErr w:type="spellStart"/>
      <w:r w:rsidRPr="00271D99">
        <w:rPr>
          <w:sz w:val="24"/>
          <w:szCs w:val="24"/>
        </w:rPr>
        <w:t>Респ</w:t>
      </w:r>
      <w:proofErr w:type="spellEnd"/>
      <w:r w:rsidRPr="00271D99">
        <w:rPr>
          <w:sz w:val="24"/>
          <w:szCs w:val="24"/>
        </w:rPr>
        <w:t>. Беларусь. – Минск, 2017.</w:t>
      </w:r>
    </w:p>
  </w:footnote>
  <w:footnote w:id="5">
    <w:p w:rsidR="00011423" w:rsidRPr="00271D99" w:rsidRDefault="00011423" w:rsidP="00271D99">
      <w:pPr>
        <w:pStyle w:val="a5"/>
        <w:jc w:val="both"/>
        <w:rPr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</w:t>
      </w:r>
      <w:r w:rsidR="001E1D6A" w:rsidRPr="001E1D6A">
        <w:rPr>
          <w:sz w:val="24"/>
          <w:szCs w:val="24"/>
        </w:rPr>
        <w:t>Пчелинцева</w:t>
      </w:r>
      <w:r w:rsidR="001E1D6A">
        <w:rPr>
          <w:sz w:val="24"/>
          <w:szCs w:val="24"/>
        </w:rPr>
        <w:t>, Л.</w:t>
      </w:r>
      <w:r w:rsidR="001E1D6A" w:rsidRPr="001E1D6A">
        <w:rPr>
          <w:sz w:val="24"/>
          <w:szCs w:val="24"/>
        </w:rPr>
        <w:t>М. Семейное право России</w:t>
      </w:r>
      <w:r w:rsidR="001E1D6A">
        <w:rPr>
          <w:sz w:val="24"/>
          <w:szCs w:val="24"/>
        </w:rPr>
        <w:t xml:space="preserve">: учебник / Л.М. Пчелинцева. – </w:t>
      </w:r>
      <w:r w:rsidR="001E1D6A" w:rsidRPr="001E1D6A">
        <w:rPr>
          <w:sz w:val="24"/>
          <w:szCs w:val="24"/>
        </w:rPr>
        <w:t>М.: НОРМА</w:t>
      </w:r>
      <w:r w:rsidR="001E1D6A">
        <w:rPr>
          <w:sz w:val="24"/>
          <w:szCs w:val="24"/>
        </w:rPr>
        <w:t>-</w:t>
      </w:r>
      <w:r w:rsidR="001E1D6A" w:rsidRPr="001E1D6A">
        <w:rPr>
          <w:sz w:val="24"/>
          <w:szCs w:val="24"/>
        </w:rPr>
        <w:t>ИНФРА</w:t>
      </w:r>
      <w:r w:rsidR="001E1D6A">
        <w:rPr>
          <w:sz w:val="24"/>
          <w:szCs w:val="24"/>
        </w:rPr>
        <w:t xml:space="preserve">, </w:t>
      </w:r>
      <w:r w:rsidR="001E1D6A" w:rsidRPr="001E1D6A">
        <w:rPr>
          <w:sz w:val="24"/>
          <w:szCs w:val="24"/>
        </w:rPr>
        <w:t>1999.</w:t>
      </w:r>
      <w:r w:rsidR="001E1D6A">
        <w:rPr>
          <w:sz w:val="24"/>
          <w:szCs w:val="24"/>
        </w:rPr>
        <w:t xml:space="preserve"> – С. 21; </w:t>
      </w:r>
      <w:r w:rsidR="00D34B63" w:rsidRPr="00D34B63">
        <w:rPr>
          <w:sz w:val="24"/>
          <w:szCs w:val="24"/>
        </w:rPr>
        <w:t>Кузнецова</w:t>
      </w:r>
      <w:r w:rsidR="00D34B63">
        <w:rPr>
          <w:sz w:val="24"/>
          <w:szCs w:val="24"/>
        </w:rPr>
        <w:t>,</w:t>
      </w:r>
      <w:r w:rsidR="00D34B63" w:rsidRPr="00D34B63">
        <w:rPr>
          <w:sz w:val="24"/>
          <w:szCs w:val="24"/>
        </w:rPr>
        <w:t xml:space="preserve"> И.М.</w:t>
      </w:r>
      <w:r w:rsidR="00D34B63">
        <w:rPr>
          <w:sz w:val="24"/>
          <w:szCs w:val="24"/>
        </w:rPr>
        <w:t xml:space="preserve"> Семейное право: у</w:t>
      </w:r>
      <w:r w:rsidR="00D34B63" w:rsidRPr="00D34B63">
        <w:rPr>
          <w:sz w:val="24"/>
          <w:szCs w:val="24"/>
        </w:rPr>
        <w:t>чебник</w:t>
      </w:r>
      <w:r w:rsidR="00D34B63">
        <w:rPr>
          <w:sz w:val="24"/>
          <w:szCs w:val="24"/>
        </w:rPr>
        <w:t xml:space="preserve"> / И.М. Кузнецова</w:t>
      </w:r>
      <w:r w:rsidR="00D34B63" w:rsidRPr="00D34B63">
        <w:rPr>
          <w:sz w:val="24"/>
          <w:szCs w:val="24"/>
        </w:rPr>
        <w:t xml:space="preserve">. – М.: </w:t>
      </w:r>
      <w:proofErr w:type="spellStart"/>
      <w:r w:rsidR="00D34B63" w:rsidRPr="00D34B63">
        <w:rPr>
          <w:sz w:val="24"/>
          <w:szCs w:val="24"/>
        </w:rPr>
        <w:t>Юристъ</w:t>
      </w:r>
      <w:proofErr w:type="spellEnd"/>
      <w:r w:rsidR="00D34B63" w:rsidRPr="00D34B63">
        <w:rPr>
          <w:sz w:val="24"/>
          <w:szCs w:val="24"/>
        </w:rPr>
        <w:t xml:space="preserve">, 1999. – </w:t>
      </w:r>
      <w:r w:rsidR="00D34B63">
        <w:rPr>
          <w:sz w:val="24"/>
          <w:szCs w:val="24"/>
        </w:rPr>
        <w:t>С. 10</w:t>
      </w:r>
      <w:r w:rsidR="001E1D6A">
        <w:rPr>
          <w:sz w:val="24"/>
          <w:szCs w:val="24"/>
        </w:rPr>
        <w:t>.</w:t>
      </w:r>
    </w:p>
  </w:footnote>
  <w:footnote w:id="6">
    <w:p w:rsidR="00F21E15" w:rsidRPr="00271D99" w:rsidRDefault="00011423" w:rsidP="00271D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D99">
        <w:rPr>
          <w:rStyle w:val="a7"/>
          <w:rFonts w:ascii="Times New Roman" w:hAnsi="Times New Roman"/>
          <w:sz w:val="24"/>
          <w:szCs w:val="24"/>
        </w:rPr>
        <w:footnoteRef/>
      </w:r>
      <w:r w:rsidRPr="00271D99">
        <w:rPr>
          <w:rFonts w:ascii="Times New Roman" w:hAnsi="Times New Roman"/>
          <w:sz w:val="24"/>
          <w:szCs w:val="24"/>
        </w:rPr>
        <w:t xml:space="preserve"> </w:t>
      </w:r>
      <w:r w:rsidR="00F21E15" w:rsidRPr="00271D99">
        <w:rPr>
          <w:rFonts w:ascii="Times New Roman" w:hAnsi="Times New Roman"/>
          <w:sz w:val="24"/>
          <w:szCs w:val="24"/>
        </w:rPr>
        <w:t>Каймакова, Е.В. Особенности правового регулирования право- и дееспособности граждан в семейных правоотношениях / Е.В. Каймакова // Семейное и</w:t>
      </w:r>
      <w:r w:rsidR="003F72E1">
        <w:rPr>
          <w:rFonts w:ascii="Times New Roman" w:hAnsi="Times New Roman"/>
          <w:sz w:val="24"/>
          <w:szCs w:val="24"/>
        </w:rPr>
        <w:t xml:space="preserve"> жилищное право. – 2009. – № 2 </w:t>
      </w:r>
      <w:r w:rsidR="003F72E1" w:rsidRPr="003F72E1">
        <w:rPr>
          <w:rFonts w:ascii="Times New Roman" w:hAnsi="Times New Roman"/>
          <w:sz w:val="24"/>
          <w:szCs w:val="24"/>
        </w:rPr>
        <w:t xml:space="preserve">// КонсультантПлюс. Россия </w:t>
      </w:r>
      <w:r w:rsidR="00F75481" w:rsidRPr="003F72E1">
        <w:rPr>
          <w:rFonts w:ascii="Times New Roman" w:hAnsi="Times New Roman"/>
          <w:sz w:val="24"/>
          <w:szCs w:val="24"/>
        </w:rPr>
        <w:t>[Электронный ресурс]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3F72E1" w:rsidRPr="003F72E1">
        <w:rPr>
          <w:rFonts w:ascii="Times New Roman" w:hAnsi="Times New Roman"/>
          <w:sz w:val="24"/>
          <w:szCs w:val="24"/>
        </w:rPr>
        <w:t>/ ЗАО «КонсультантПлюс». - М., 201</w:t>
      </w:r>
      <w:r w:rsidR="003F72E1">
        <w:rPr>
          <w:rFonts w:ascii="Times New Roman" w:hAnsi="Times New Roman"/>
          <w:sz w:val="24"/>
          <w:szCs w:val="24"/>
        </w:rPr>
        <w:t>7</w:t>
      </w:r>
      <w:r w:rsidR="003F72E1" w:rsidRPr="003F72E1">
        <w:rPr>
          <w:rFonts w:ascii="Times New Roman" w:hAnsi="Times New Roman"/>
          <w:sz w:val="24"/>
          <w:szCs w:val="24"/>
        </w:rPr>
        <w:t>.</w:t>
      </w:r>
    </w:p>
  </w:footnote>
  <w:footnote w:id="7">
    <w:p w:rsidR="00B64BF3" w:rsidRPr="002021AA" w:rsidRDefault="00B64BF3" w:rsidP="002021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</w:t>
      </w:r>
      <w:r w:rsidR="002021AA" w:rsidRPr="00271D99">
        <w:rPr>
          <w:rFonts w:ascii="Times New Roman" w:hAnsi="Times New Roman"/>
          <w:sz w:val="24"/>
          <w:szCs w:val="24"/>
        </w:rPr>
        <w:t>Каймакова, Е.В. Особенности правового регулирования право- и дееспособности граждан в семейных правоотношениях / Е.В. Каймакова // Семейное и</w:t>
      </w:r>
      <w:r w:rsidR="002021AA">
        <w:rPr>
          <w:rFonts w:ascii="Times New Roman" w:hAnsi="Times New Roman"/>
          <w:sz w:val="24"/>
          <w:szCs w:val="24"/>
        </w:rPr>
        <w:t xml:space="preserve"> жилищное право. – 2009. – № 2 </w:t>
      </w:r>
      <w:r w:rsidR="002021AA" w:rsidRPr="003F72E1">
        <w:rPr>
          <w:rFonts w:ascii="Times New Roman" w:hAnsi="Times New Roman"/>
          <w:sz w:val="24"/>
          <w:szCs w:val="24"/>
        </w:rPr>
        <w:t>// КонсультантПлюс. Россия [Электронный ресурс]</w:t>
      </w:r>
      <w:r w:rsidR="002021AA">
        <w:rPr>
          <w:rFonts w:ascii="Times New Roman" w:hAnsi="Times New Roman"/>
          <w:sz w:val="24"/>
          <w:szCs w:val="24"/>
        </w:rPr>
        <w:t xml:space="preserve"> </w:t>
      </w:r>
      <w:r w:rsidR="002021AA" w:rsidRPr="003F72E1">
        <w:rPr>
          <w:rFonts w:ascii="Times New Roman" w:hAnsi="Times New Roman"/>
          <w:sz w:val="24"/>
          <w:szCs w:val="24"/>
        </w:rPr>
        <w:t>/ ЗАО «КонсультантПлюс». - М., 201</w:t>
      </w:r>
      <w:r w:rsidR="002021AA">
        <w:rPr>
          <w:rFonts w:ascii="Times New Roman" w:hAnsi="Times New Roman"/>
          <w:sz w:val="24"/>
          <w:szCs w:val="24"/>
        </w:rPr>
        <w:t>7</w:t>
      </w:r>
      <w:r w:rsidR="002021AA" w:rsidRPr="003F72E1">
        <w:rPr>
          <w:rFonts w:ascii="Times New Roman" w:hAnsi="Times New Roman"/>
          <w:sz w:val="24"/>
          <w:szCs w:val="24"/>
        </w:rPr>
        <w:t>.</w:t>
      </w:r>
    </w:p>
  </w:footnote>
  <w:footnote w:id="8">
    <w:p w:rsidR="00CC24F6" w:rsidRPr="002021AA" w:rsidRDefault="00CC24F6" w:rsidP="002021A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D99">
        <w:rPr>
          <w:rStyle w:val="a7"/>
          <w:sz w:val="24"/>
          <w:szCs w:val="24"/>
        </w:rPr>
        <w:footnoteRef/>
      </w:r>
      <w:r w:rsidRPr="00271D99">
        <w:rPr>
          <w:sz w:val="24"/>
          <w:szCs w:val="24"/>
        </w:rPr>
        <w:t xml:space="preserve"> </w:t>
      </w:r>
      <w:r w:rsidR="002021AA" w:rsidRPr="00271D99">
        <w:rPr>
          <w:rFonts w:ascii="Times New Roman" w:hAnsi="Times New Roman"/>
          <w:sz w:val="24"/>
          <w:szCs w:val="24"/>
        </w:rPr>
        <w:t>Каймакова, Е.В. Особенности правового регулирования право- и дееспособности граждан в семейных правоотношениях / Е.В. Каймакова // Семейное и</w:t>
      </w:r>
      <w:r w:rsidR="002021AA">
        <w:rPr>
          <w:rFonts w:ascii="Times New Roman" w:hAnsi="Times New Roman"/>
          <w:sz w:val="24"/>
          <w:szCs w:val="24"/>
        </w:rPr>
        <w:t xml:space="preserve"> жилищное право. – 2009. – № 2 </w:t>
      </w:r>
      <w:r w:rsidR="002021AA" w:rsidRPr="003F72E1">
        <w:rPr>
          <w:rFonts w:ascii="Times New Roman" w:hAnsi="Times New Roman"/>
          <w:sz w:val="24"/>
          <w:szCs w:val="24"/>
        </w:rPr>
        <w:t>// КонсультантПлюс. Россия [Электронный ресурс]</w:t>
      </w:r>
      <w:r w:rsidR="002021AA">
        <w:rPr>
          <w:rFonts w:ascii="Times New Roman" w:hAnsi="Times New Roman"/>
          <w:sz w:val="24"/>
          <w:szCs w:val="24"/>
        </w:rPr>
        <w:t xml:space="preserve"> </w:t>
      </w:r>
      <w:r w:rsidR="002021AA" w:rsidRPr="003F72E1">
        <w:rPr>
          <w:rFonts w:ascii="Times New Roman" w:hAnsi="Times New Roman"/>
          <w:sz w:val="24"/>
          <w:szCs w:val="24"/>
        </w:rPr>
        <w:t>/ ЗАО «КонсультантПлюс». - М., 201</w:t>
      </w:r>
      <w:r w:rsidR="002021AA">
        <w:rPr>
          <w:rFonts w:ascii="Times New Roman" w:hAnsi="Times New Roman"/>
          <w:sz w:val="24"/>
          <w:szCs w:val="24"/>
        </w:rPr>
        <w:t>7</w:t>
      </w:r>
      <w:r w:rsidR="002021AA" w:rsidRPr="003F72E1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E24"/>
    <w:multiLevelType w:val="hybridMultilevel"/>
    <w:tmpl w:val="5ACA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1BAA"/>
    <w:multiLevelType w:val="hybridMultilevel"/>
    <w:tmpl w:val="EFC2A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F84BAC"/>
    <w:multiLevelType w:val="hybridMultilevel"/>
    <w:tmpl w:val="7B3C2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E563A9"/>
    <w:multiLevelType w:val="hybridMultilevel"/>
    <w:tmpl w:val="09CC4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B62B1F"/>
    <w:multiLevelType w:val="hybridMultilevel"/>
    <w:tmpl w:val="F0E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53"/>
    <w:rsid w:val="00011423"/>
    <w:rsid w:val="00045B53"/>
    <w:rsid w:val="000C3053"/>
    <w:rsid w:val="000D51CB"/>
    <w:rsid w:val="000E0391"/>
    <w:rsid w:val="000E2B82"/>
    <w:rsid w:val="000E4838"/>
    <w:rsid w:val="000E6EAD"/>
    <w:rsid w:val="0013090C"/>
    <w:rsid w:val="0015217E"/>
    <w:rsid w:val="00167D8C"/>
    <w:rsid w:val="001E1D6A"/>
    <w:rsid w:val="002021AA"/>
    <w:rsid w:val="00271D99"/>
    <w:rsid w:val="002A6474"/>
    <w:rsid w:val="002B28DE"/>
    <w:rsid w:val="002F564A"/>
    <w:rsid w:val="00334B86"/>
    <w:rsid w:val="00361DF4"/>
    <w:rsid w:val="003718DD"/>
    <w:rsid w:val="0039141F"/>
    <w:rsid w:val="003C143A"/>
    <w:rsid w:val="003F72E1"/>
    <w:rsid w:val="004463C8"/>
    <w:rsid w:val="00462EC3"/>
    <w:rsid w:val="0046587D"/>
    <w:rsid w:val="00484C1F"/>
    <w:rsid w:val="004A47B3"/>
    <w:rsid w:val="004D5212"/>
    <w:rsid w:val="004E620B"/>
    <w:rsid w:val="007312D0"/>
    <w:rsid w:val="00740D50"/>
    <w:rsid w:val="00744B21"/>
    <w:rsid w:val="00751B1C"/>
    <w:rsid w:val="00763150"/>
    <w:rsid w:val="00800F94"/>
    <w:rsid w:val="008110D9"/>
    <w:rsid w:val="00862AE4"/>
    <w:rsid w:val="00893D55"/>
    <w:rsid w:val="008C1444"/>
    <w:rsid w:val="008E20A2"/>
    <w:rsid w:val="0092544B"/>
    <w:rsid w:val="00966944"/>
    <w:rsid w:val="00973C85"/>
    <w:rsid w:val="009B18CB"/>
    <w:rsid w:val="009C7936"/>
    <w:rsid w:val="009D3323"/>
    <w:rsid w:val="00A16F08"/>
    <w:rsid w:val="00A5074D"/>
    <w:rsid w:val="00A67A96"/>
    <w:rsid w:val="00A84983"/>
    <w:rsid w:val="00A926D4"/>
    <w:rsid w:val="00AB544F"/>
    <w:rsid w:val="00B228B4"/>
    <w:rsid w:val="00B64BF3"/>
    <w:rsid w:val="00B81E04"/>
    <w:rsid w:val="00BA27CF"/>
    <w:rsid w:val="00BA7328"/>
    <w:rsid w:val="00BB0227"/>
    <w:rsid w:val="00BF4A1E"/>
    <w:rsid w:val="00C03450"/>
    <w:rsid w:val="00C23DDA"/>
    <w:rsid w:val="00C7007E"/>
    <w:rsid w:val="00CC24F6"/>
    <w:rsid w:val="00CF670B"/>
    <w:rsid w:val="00D16B78"/>
    <w:rsid w:val="00D34B63"/>
    <w:rsid w:val="00D44DAA"/>
    <w:rsid w:val="00D65742"/>
    <w:rsid w:val="00D76F1D"/>
    <w:rsid w:val="00D82730"/>
    <w:rsid w:val="00D86766"/>
    <w:rsid w:val="00E124FA"/>
    <w:rsid w:val="00EB2994"/>
    <w:rsid w:val="00EC50E0"/>
    <w:rsid w:val="00F03474"/>
    <w:rsid w:val="00F21E15"/>
    <w:rsid w:val="00F74E4A"/>
    <w:rsid w:val="00F75481"/>
    <w:rsid w:val="00FC3ED4"/>
    <w:rsid w:val="00FF09C0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976"/>
  <w15:chartTrackingRefBased/>
  <w15:docId w15:val="{5FE1E8A6-1AF2-4F1F-813D-746A6E2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uiPriority w:val="1"/>
    <w:rsid w:val="00BA27C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09C0"/>
    <w:pPr>
      <w:ind w:left="720"/>
      <w:contextualSpacing/>
    </w:pPr>
  </w:style>
  <w:style w:type="paragraph" w:styleId="a5">
    <w:name w:val="footnote text"/>
    <w:basedOn w:val="a"/>
    <w:link w:val="a6"/>
    <w:semiHidden/>
    <w:rsid w:val="0001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142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B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BF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6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6E74-D477-4386-AE54-778D79E2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Manyasha</dc:creator>
  <cp:keywords/>
  <dc:description/>
  <cp:lastModifiedBy>Manyasha</cp:lastModifiedBy>
  <cp:revision>77</cp:revision>
  <cp:lastPrinted>2017-10-04T12:39:00Z</cp:lastPrinted>
  <dcterms:created xsi:type="dcterms:W3CDTF">2017-09-06T11:37:00Z</dcterms:created>
  <dcterms:modified xsi:type="dcterms:W3CDTF">2019-12-21T15:03:00Z</dcterms:modified>
</cp:coreProperties>
</file>