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AE" w:rsidRPr="00150CB0" w:rsidRDefault="00FC4FAE" w:rsidP="00FC4F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7C77">
        <w:rPr>
          <w:rFonts w:ascii="Times New Roman" w:hAnsi="Times New Roman" w:cs="Times New Roman"/>
          <w:sz w:val="28"/>
          <w:szCs w:val="28"/>
        </w:rPr>
        <w:t>Тютелова</w:t>
      </w:r>
      <w:proofErr w:type="spellEnd"/>
      <w:r w:rsidRPr="00E07C77">
        <w:rPr>
          <w:rFonts w:ascii="Times New Roman" w:hAnsi="Times New Roman" w:cs="Times New Roman"/>
          <w:sz w:val="28"/>
          <w:szCs w:val="28"/>
        </w:rPr>
        <w:t xml:space="preserve"> Л.Г. (Самара)</w:t>
      </w:r>
    </w:p>
    <w:p w:rsidR="00FC4FAE" w:rsidRPr="00150CB0" w:rsidRDefault="00FC4FAE" w:rsidP="00FC4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РОМАННЫЕ СТРАТЕГИИ В НОВЕЙШЕЙ РУССКОЙ ДРАМЕ НА ПРИМЕРЕ ПЬЕС Е. ИСАЕВОЙ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Современная российская драма в большинстве своем представлена текстами, которые не могут быть интерпретированы в соответствии с актуальной и по сей день для нашей науки драматической теорией. Эта теория не предполагает возможности кардинального изменения художественного языка, тогда как драма нового времени именно эти изменения и демонстрирует.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И представляется правильным не отрицать новую драматическую форму, а понять причины ее появления и увидеть перспективы ее развития, в том числе и в современной литературе.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В первую очередь стоит заметить, что драматические эксперименты – принадлежность далеко не только нашего времени. Поиски нового драматического языка, продолжающиеся и в начале XXI столетия, были характерны и для драмы конца XVIII – начала XIX века, когда произошло рождение нового автора, осознающего, что он не воспроизводит кем-то созданное, а творит свою реальность. И чтобы это продемонстрировать, драматург выбирает романные стратегии построения своего мира.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Напомню, что в работе «Эпос и роман. (О методологии исследования романа)» М. М. Бахтин писал о том, что, будучи становящимся жанром, роман «более глубоко, существенно, чутко и быстро отражает становление самой действительности» [1, с.451]. Это происходит потому, что мир, возникающий в романе, рождается не на основании предания, говорящего о событиях, завершенных и целостных, а благодаря личному авторскому опыту и «вырастающему» на его основании вымыслу.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Следовательно, когда драматург осознает право быть самим собой, он начинает смотреть в сторону романа, позволяющего автору выступить в роли Творца и выразить свое понимание реального мира. Последнее, как свидетельствует романная практика, становится возможным, когда герой и автор, а также читатель, к которому обращено художественное высказывание, стоят на одном «ценностно-временном уровне» и между ними возникают диалогические отношения.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Это отношения тех, кто находится внутри становящегося, развивающегося мира, неготового, незавершенного ни с точки зрения смысла, ни с точки зрения ценностей. Смысл и ценность этого мира обретаются в процессе его личностного постижения, погружения в него. Причем это погружение происходит не через «изымание» автора и читателя из их настоящего, а через непосредственный контакт настоящего, реального времени и времени изображенного.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В романе о возможности контакта времен свидетельствует фигура автора, появляющаяся в пространстве героя, вступающая с ним в «диалог» и приглашающая к этому диалогу читателя. В качестве примера можно привести отношения Онегина и его создателя в пушкинском романе: «Онегин, добрый </w:t>
      </w:r>
      <w:r w:rsidRPr="00150CB0">
        <w:rPr>
          <w:rFonts w:ascii="Times New Roman" w:hAnsi="Times New Roman" w:cs="Times New Roman"/>
          <w:sz w:val="28"/>
          <w:szCs w:val="28"/>
        </w:rPr>
        <w:lastRenderedPageBreak/>
        <w:t>мой приятель, / Родился на брегах Невы, / Где, может быть, родились вы / Или блистали, мой читатель» [9, с.10].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Перед нами «диалог» троих: Онегина, автора и читателя. А теперь обратим внимание на ремарку пьесы современного российского драматурга Елены Исаевой. Ее пьесы «Про мою маму и про меня», «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Doc.тор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», «Абрикосовый рай» в свое время стали настоящими театральными событиями.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Препозитивная ремарка пьесы «Последний каприз» звучит следующим образом: «На сцене красиво сервированный стол с вином и всякими вкусностями. Цветы. Магнитофон. Появляется Женя.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Бизнесменистого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вида приятный мужчина. &lt;…&gt; Слышен женский смех…» [7].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Исаевская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ремарка – это речь субъекта, осваивающего сценическое пространство не с позиции всеведения Творца, а с позиции личности, опирающейся на свой частный опыт (отсюда и «красиво сервированный стол», и «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бизнесменистого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вида приятный мужчина»). Говорящий лишь догадывается о том, что происходит во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внесценическом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пространстве или пространстве сцены до того, как он в нем появился. С его помощью современный автор и входит в мир драмы.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Правда, драматурги и раньше имели возможность появиться в сценическом пространстве в роли «другого», говорящего не своим голосом – голосом Творца, чей замысел, в соответствии с эйдетической поэтикой, реализуют драматург и его герои. В новом времени, как это показывает Исаева, автор входит в мир драмы как лицо частное, обладающее ограниченным зрением. При этом наиболее свободно автор ощущает себя только на «пороге», в пространстве, заданном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паратекстом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– названием, эпиграфом, афишей и, наконец. – ремарками.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Собственно, именно в ремарках возникает образ того, «кому принадлежит ремарочная речь, но чей образ не оформляется ни как образ автора, ни как образ героя с четко прочерченными личностными границами. Это образ преимущественно изображающий, а не изображаемый, по сути это избранная автором точка зрения на героя и событие, “голос” или интенция» [10, с.185].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Субъект ремарки, или ремарочный субъект, разворачивает образ драматического пространства, обозначает его игровую природу и даже вступает в диалог с тем, кто будет воссоздавать авторский образ на реальной сцене, т.е. он одновременно обращен к реальности читателя/зрителя и к реальности героя: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Причем, начиная с рубежа XIX–ХХ веков, т.е. со времени так называемой «новой драмы», авторы расширяют «пороговое» пространство (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паратект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перестает быть добавочным текстом), выходят в пространство драматического действия, обращаясь непосредственно к герою, делая тем самым его фигурой, сопоставимой с авторской. Так, у Исаевой: «ЛЕНА что-то пишет за столом. Она встаёт, отрываясь от своей тетрадки, выходит на авансцену и говорит, обращаясь к зрителям, сразу приглашая их в собеседники» [8].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Как фигура, сопоставимая с авторской, герой, как и ремарочный субъект, оказывается ответственным за возникновение драматического мира и его </w:t>
      </w:r>
      <w:r w:rsidRPr="00150CB0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личностное восприятие. Но это иная мера ответственности, нежели в традиционной (нероманной) драме, и иная, нежели авторская.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В пьесе Исаевой «Двор как уходящая натура», например, на сцене появляется Австралиец, вернувшийся на Родину и не узнающий в ней, в настоящей, прошлую, т.е. свою Россию. Ее образ живет в воспоминаниях героя и по его инициативе становится драматическим пространством. В итоге на авансцене разворачиваются картины настоящего, где встречаются Австралиец и Слесарь (у героев настоящего нет собственных имен), а на заднем плане появляются картины прошлого, представляющего собой воспоминания Австралийца и его собеседников.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В пьесе «Про мою маму и про меня» находим: «ЛЕНА (зрителям). Мне-то казалось, что уже поздновато. (Маме). А… кем? Ну, то есть в какой области ты собираешься стать знаменитой? Как – кто?» [8]. Героиня находится и внутри драматической картины, и на ее границе. Внутри – она участница разговора с мамой. Граница позволяет ей выйти на непосредственный контакт с читателем. В таком случае ее реплики по сути совпадают с авторскими ремарками: «ЛЕНА. Мам, что мне с ней спорить что ли? Как продиктовала, так и напишем. Что посеешь – то пожнёшь. (В зал). «ИСКУССТВО И ЕГО СОЗДАТЕЛИ». Часть первая. Главным видом искусства для меня с детства было документальное кино. Потому что Мама работала в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киноотделе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при Министерстве речного флота и писала сценарии научно-технических документальных фильмов» [8].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И несмотря на то, что герои выступают инициаторами возникновения на сцене картин прошлого, увидеть все изображенное как целостное и законченное, они не в состоянии. Необходимо отстранение, выход на границу художественной реальности для понимания ее смысла и ценности.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Собственно, именно поэтому даже в случае, нередком для современной драмы, когда на сцене действует персонаж, воспринимаемый как авторский лирический образ, не ему принадлежит позиция завершения. При всей свободе героя в самом начале и конце он оказывается в пространстве авторского слова: ремарка, а не реплики героя порождают первую драматическую картину, в которой и появляется персонаж: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(«ЛЕНА что-то пишет за столом» [8] («Про мою маму и про меня»); «Мужчина лет сорока-сорока пяти ходит по московскому окраинному микрорайону. Постоит, пройдёт, вернётся. Пойдёт в другую сторону, опять замрёт, постоит.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Все участники спектакля находятся на сцене – в глубине. В одну из его остановок они медленно приближаются к нему.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- Неужели ты не хочешь, чтобы тебя кто-нибудь любил? &lt;</w:t>
      </w:r>
      <w:proofErr w:type="gramStart"/>
      <w:r w:rsidRPr="00150CB0">
        <w:rPr>
          <w:rFonts w:ascii="Times New Roman" w:hAnsi="Times New Roman" w:cs="Times New Roman"/>
          <w:sz w:val="28"/>
          <w:szCs w:val="28"/>
        </w:rPr>
        <w:t>…&gt;-</w:t>
      </w:r>
      <w:proofErr w:type="gramEnd"/>
      <w:r w:rsidRPr="00150CB0">
        <w:rPr>
          <w:rFonts w:ascii="Times New Roman" w:hAnsi="Times New Roman" w:cs="Times New Roman"/>
          <w:sz w:val="28"/>
          <w:szCs w:val="28"/>
        </w:rPr>
        <w:t xml:space="preserve"> «На месте морская фигура замри»! Все замирают.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Только австралиец продолжает оглядываться» [5] («Двор как уходящая натура»).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Ремарка, как правило, все и завершает. То есть позиция ремарочного субъекта как оформленная на «пороге» личностная авторская и есть позиция завершения образа события и образа героя.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стоит отметить еще одну особенность героя драмы, для которой важен романный опыт. В свое время М. М. Бахтин писал об особенностях драматического героя. Речь в его работах шла о его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готовости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как сохранении идентичности. Претерпевая «игру судьбы», такой персонаж «сохраняет себя и выносит из этой игры, из всех превратностей судьбы и случая неизменным свое абсолютное тождество с самим собой» [1, с.256]. «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Готовость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» героя, как поясняет С. Н.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Бройтман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, «обусловлена тем, что творческий акт Бога (и в идеале – автора) уже состоялся в ценностном прошлом, замысел его о герое –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предзадан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и судьба определена; а потому их художественная реализации – не проявление авторского произвола, не установление принудительных и внешних границ героя, а претворение его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предзаданной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бытийной целостности. Выражением ее и становится образ-характер, великое открытие именно эйдетической поэтики» [3, с.159–160].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В случае с персонажем современной драмы актуальным оказывается и авторский произвол, и поиск героем своей идентичности, благодаря которому рождается совершенно новый драматический сюжет.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В классике «и самый ход жизни личности, все события ее и, наконец, гибель ее воспринимаются как необходимые, предопределенные ее определенною судьбой». Поэтому классический характер «в самом существенном &lt;…&gt; уже сплошь определился» [2, с.153]. Все, что совершает герой, «мотивируется не его нравственною свободной волей, а его определенным бытием: он поступает так потому, что он таков» [2, с.154].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В современных пьесах герой существует на перекрестке бытия «я-для-себя» и «я-для-другого». И ни в одной из позиций нет определенности. Герой как «я для-себя» – результат авторской попытки показать поиски героем ответа на вопрос о границах своей личности. Такой герой не знает своей судьбы, она ему не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предзадана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. Поэтому в пьесе Исаевой «Две жены Париса» судьба героев складывается здесь и сейчас: богини принимают решение, видя, что происходит с героями. Но заранее, что случится, они не знают: все зависит от настроения, желания, спора.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Более того, ведущие роли в пьесе – роли героев, а не богов. Произведение начинается сценой Елены и ее служанки. Читатель/зритель сразу же оказывается в реальности становящейся жизни, истории не Трои, а Елены, о завершении которой он может только догадываться.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В своей жизни героям приходится рассчитывать только на себя, как бы ни хотелось сослаться на волю богов. Для того чтобы это стало очевидным, у Исаевой возникает сцена, когда молящаяся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Энона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, первая жена Париса, обращается к Гере за помощью. «Гера хочет подойти к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Эноне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, но все же остается с Зевсом» [4].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CB0">
        <w:rPr>
          <w:rFonts w:ascii="Times New Roman" w:hAnsi="Times New Roman" w:cs="Times New Roman"/>
          <w:sz w:val="28"/>
          <w:szCs w:val="28"/>
        </w:rPr>
        <w:t>Энона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одна. Никто за нее выбор сделать не может. Она сама решает не давать спасительного напитка смертельно раненому Парису, и это ее выбор броситься в его погребальный костер. Т.е., судьба зависит от свободного выбора личности. В иной ситуации, когда Афродита навязывает Елене ее судьбу, обнаруживается, что Елена больше того, что ей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предзадано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. Об этом свидетельствуют попытки героини определить себя самостоятельно. 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lastRenderedPageBreak/>
        <w:t>Так, Елена признается: «Я сама себя порой не пойму» [4]. Окружающие устанавливают свои границы ее образа: «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Лаодика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. Ты – символ красоты &lt;…&gt; Нет, ты не символ, ты – змея! Бесчувственная кукла! Рыба!» [4]. «Кассандра. Ты успокоишься тогда, Когда погубишь всех!» [4]. Афродита видит в ней жену и мать и считает ее сутью измену. Всякая попытка «другого» определить, кто есть кто, оказывается неудачной как навязывание своей позиции видения «другому». Поэтому Парис и говорит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Эноне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>: «Да что ты знаешь обо мне, Прожив со мною столько лет» [4].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Всякий «другой» мало помогает персонажу определиться и с самим собой, и со своим выбором. Отсюда в современной драме и герой, который со времен Чехова действовать не в состоянии, и неожиданный финал как проявление авторского произвола, заявление о его видении и понимании события и героя как «другого». Например, в «Двух женах Париса» в самом конце Афродита признается, что любит Гефеста, хотя вышла она на сцену с требованием развода: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Я в неоплатном перед ним долгу.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Я тоже, может быть, его люблю.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Я не его, себя с трудом терплю [4].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История двух жен Париса будто бы позволяет Афродите понять себя, установить границы своего образа, окончательно утверждаемые автором, ведущим свой диалог с читателем как посредством героя, так и помимо него. Следовательно, как для Афродиты история отношений Париса с Еленой и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Эноной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– путь самопознания, так и для автора, а потому и для читателя, история драматических героев – путь к пониманию их Создателя. Исаева в интервью признается, говоря о пьесе «Про мою маму и про меня»: «Эта пьеса – практически интервью с самой собой. Воспоминания детства и отрочества, реалий далеких 1980-х, атмосферы жизни, которая утрачена и невозвратима» [6].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Память и воображение помогают драматургу создать мир, названный Н. Колядой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МоимМиром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>. В нем живут герои, вещи, события. Мир принадлежит прошлому и настоящему автора, позволяет ему увидеть себя как «другого», проиграть разные варианты судьбы (кстати, именно на этом проигрывании строится сюжет пьесы Исаевой «Абрикосовый рай»), и в конечном итоге открыть путь к себе. Поэтому Исаева и замечает: «Видите ли, по произведению можно понять о его создателе если не все, то почти все» [6]).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Таким образом, драматическая форма, характеризующая новую российскую драму, – результат использования главной романной стратегии. Она предполагает создание образа на территории становящейся, незавершенной реальности, являющейся единым ценностным пространством для автора, его героя и его читателя.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Возникающий драматический мир свидетельствует о создателе. В этом мире существует образ героя, находящегося в поиске своей идентичности. Этот поиск завершается установлением диалогических отношений различных позиций: позиции видения героем себя как «другого», видения автором героя как «другого», видения читателем авторского мира как мира «другого», </w:t>
      </w:r>
      <w:r w:rsidRPr="00150CB0">
        <w:rPr>
          <w:rFonts w:ascii="Times New Roman" w:hAnsi="Times New Roman" w:cs="Times New Roman"/>
          <w:sz w:val="28"/>
          <w:szCs w:val="28"/>
        </w:rPr>
        <w:lastRenderedPageBreak/>
        <w:t xml:space="preserve">приближающего его к себе. Все это становится возможным благодаря выходу автора как лица частного в пространство действия и отстранения от него, благодаря рождению гносеологического сюжета, для которого важно не событие настоящего, а сопряжение картин настоящего, будущего, прошлого, выстроенных в логике поиска автором собственных ответов на бытийные вопросы, заданные ему его современностью. </w:t>
      </w:r>
    </w:p>
    <w:p w:rsidR="00FC4FAE" w:rsidRPr="00150CB0" w:rsidRDefault="00FC4FAE" w:rsidP="00FC4FA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Литература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1. Бахтин М. М. Вопросы литературы и эстетики. Исследования разных </w:t>
      </w:r>
      <w:proofErr w:type="gramStart"/>
      <w:r w:rsidRPr="00150CB0">
        <w:rPr>
          <w:rFonts w:ascii="Times New Roman" w:hAnsi="Times New Roman" w:cs="Times New Roman"/>
          <w:sz w:val="28"/>
          <w:szCs w:val="28"/>
        </w:rPr>
        <w:t>лет.</w:t>
      </w:r>
      <w:r w:rsidRPr="006E209E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150CB0">
        <w:rPr>
          <w:rFonts w:ascii="Times New Roman" w:hAnsi="Times New Roman" w:cs="Times New Roman"/>
          <w:sz w:val="28"/>
          <w:szCs w:val="28"/>
        </w:rPr>
        <w:t xml:space="preserve"> М. М. Бахтин</w:t>
      </w:r>
      <w:r w:rsidRPr="00F41931">
        <w:rPr>
          <w:rFonts w:ascii="Times New Roman" w:hAnsi="Times New Roman" w:cs="Times New Roman"/>
          <w:sz w:val="28"/>
          <w:szCs w:val="28"/>
        </w:rPr>
        <w:t xml:space="preserve"> —</w:t>
      </w:r>
      <w:r w:rsidRPr="00150CB0">
        <w:rPr>
          <w:rFonts w:ascii="Times New Roman" w:hAnsi="Times New Roman" w:cs="Times New Roman"/>
          <w:sz w:val="28"/>
          <w:szCs w:val="28"/>
        </w:rPr>
        <w:t xml:space="preserve"> М.: Художественная литература, 1975</w:t>
      </w:r>
      <w:r w:rsidRPr="00F41931">
        <w:rPr>
          <w:rFonts w:ascii="Times New Roman" w:hAnsi="Times New Roman" w:cs="Times New Roman"/>
          <w:sz w:val="28"/>
          <w:szCs w:val="28"/>
        </w:rPr>
        <w:t xml:space="preserve"> — </w:t>
      </w:r>
      <w:r w:rsidRPr="00150CB0">
        <w:rPr>
          <w:rFonts w:ascii="Times New Roman" w:hAnsi="Times New Roman" w:cs="Times New Roman"/>
          <w:sz w:val="28"/>
          <w:szCs w:val="28"/>
        </w:rPr>
        <w:t>504 с.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2. Бахтин М. М. Эстетика словесного </w:t>
      </w:r>
      <w:proofErr w:type="gramStart"/>
      <w:r w:rsidRPr="00150CB0">
        <w:rPr>
          <w:rFonts w:ascii="Times New Roman" w:hAnsi="Times New Roman" w:cs="Times New Roman"/>
          <w:sz w:val="28"/>
          <w:szCs w:val="28"/>
        </w:rPr>
        <w:t>творчества.</w:t>
      </w:r>
      <w:r w:rsidRPr="00D5689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D5689B">
        <w:rPr>
          <w:rFonts w:ascii="Times New Roman" w:hAnsi="Times New Roman" w:cs="Times New Roman"/>
          <w:sz w:val="28"/>
          <w:szCs w:val="28"/>
        </w:rPr>
        <w:t xml:space="preserve"> </w:t>
      </w:r>
      <w:r w:rsidRPr="00150CB0">
        <w:rPr>
          <w:rFonts w:ascii="Times New Roman" w:hAnsi="Times New Roman" w:cs="Times New Roman"/>
          <w:sz w:val="28"/>
          <w:szCs w:val="28"/>
        </w:rPr>
        <w:t xml:space="preserve">М. М.  </w:t>
      </w:r>
      <w:r w:rsidRPr="00D5689B">
        <w:rPr>
          <w:rFonts w:ascii="Times New Roman" w:hAnsi="Times New Roman" w:cs="Times New Roman"/>
          <w:sz w:val="28"/>
          <w:szCs w:val="28"/>
        </w:rPr>
        <w:t xml:space="preserve"> </w:t>
      </w:r>
      <w:r w:rsidRPr="00150CB0">
        <w:rPr>
          <w:rFonts w:ascii="Times New Roman" w:hAnsi="Times New Roman" w:cs="Times New Roman"/>
          <w:sz w:val="28"/>
          <w:szCs w:val="28"/>
        </w:rPr>
        <w:t>Бахтин</w:t>
      </w:r>
      <w:r w:rsidRPr="00094B8F">
        <w:rPr>
          <w:rFonts w:ascii="Times New Roman" w:hAnsi="Times New Roman" w:cs="Times New Roman"/>
          <w:sz w:val="28"/>
          <w:szCs w:val="28"/>
        </w:rPr>
        <w:t>—</w:t>
      </w:r>
      <w:r w:rsidRPr="00150CB0">
        <w:rPr>
          <w:rFonts w:ascii="Times New Roman" w:hAnsi="Times New Roman" w:cs="Times New Roman"/>
          <w:sz w:val="28"/>
          <w:szCs w:val="28"/>
        </w:rPr>
        <w:t xml:space="preserve"> М.: Искусство, 1979.</w:t>
      </w:r>
      <w:r w:rsidRPr="00094B8F">
        <w:rPr>
          <w:rFonts w:ascii="Times New Roman" w:hAnsi="Times New Roman" w:cs="Times New Roman"/>
          <w:sz w:val="28"/>
          <w:szCs w:val="28"/>
        </w:rPr>
        <w:t xml:space="preserve"> —</w:t>
      </w:r>
      <w:r w:rsidRPr="00150CB0">
        <w:rPr>
          <w:rFonts w:ascii="Times New Roman" w:hAnsi="Times New Roman" w:cs="Times New Roman"/>
          <w:sz w:val="28"/>
          <w:szCs w:val="28"/>
        </w:rPr>
        <w:t xml:space="preserve"> 424 с.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Бройтман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С. Н. Историческая </w:t>
      </w:r>
      <w:proofErr w:type="gramStart"/>
      <w:r w:rsidRPr="00150CB0">
        <w:rPr>
          <w:rFonts w:ascii="Times New Roman" w:hAnsi="Times New Roman" w:cs="Times New Roman"/>
          <w:sz w:val="28"/>
          <w:szCs w:val="28"/>
        </w:rPr>
        <w:t>поэтика.</w:t>
      </w:r>
      <w:r w:rsidRPr="00F41931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D5689B">
        <w:rPr>
          <w:rFonts w:ascii="Times New Roman" w:hAnsi="Times New Roman" w:cs="Times New Roman"/>
          <w:sz w:val="28"/>
          <w:szCs w:val="28"/>
        </w:rPr>
        <w:t xml:space="preserve"> </w:t>
      </w:r>
      <w:r w:rsidRPr="00150CB0">
        <w:rPr>
          <w:rFonts w:ascii="Times New Roman" w:hAnsi="Times New Roman" w:cs="Times New Roman"/>
          <w:sz w:val="28"/>
          <w:szCs w:val="28"/>
        </w:rPr>
        <w:t>С. Н.</w:t>
      </w:r>
      <w:r w:rsidRPr="00F419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Бройтман</w:t>
      </w:r>
      <w:proofErr w:type="spellEnd"/>
      <w:r w:rsidRPr="00094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931">
        <w:rPr>
          <w:rFonts w:ascii="Times New Roman" w:hAnsi="Times New Roman" w:cs="Times New Roman"/>
          <w:sz w:val="28"/>
          <w:szCs w:val="28"/>
        </w:rPr>
        <w:t>—</w:t>
      </w:r>
      <w:r w:rsidRPr="00150CB0">
        <w:rPr>
          <w:rFonts w:ascii="Times New Roman" w:hAnsi="Times New Roman" w:cs="Times New Roman"/>
          <w:sz w:val="28"/>
          <w:szCs w:val="28"/>
        </w:rPr>
        <w:t xml:space="preserve">  М.</w:t>
      </w:r>
      <w:proofErr w:type="gramEnd"/>
      <w:r w:rsidRPr="00150CB0">
        <w:rPr>
          <w:rFonts w:ascii="Times New Roman" w:hAnsi="Times New Roman" w:cs="Times New Roman"/>
          <w:sz w:val="28"/>
          <w:szCs w:val="28"/>
        </w:rPr>
        <w:t>: РГГУ, 2001.</w:t>
      </w:r>
      <w:r w:rsidRPr="00D5689B">
        <w:rPr>
          <w:rFonts w:ascii="Times New Roman" w:hAnsi="Times New Roman" w:cs="Times New Roman"/>
          <w:sz w:val="28"/>
          <w:szCs w:val="28"/>
        </w:rPr>
        <w:t>—</w:t>
      </w:r>
      <w:r w:rsidRPr="00150CB0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4. Исаева Е. Две жены Париса. [Электронный ресурс]. URL: http://www.isaeva.ru/plays/wife.html (дата </w:t>
      </w:r>
      <w:proofErr w:type="gramStart"/>
      <w:r w:rsidRPr="00150CB0">
        <w:rPr>
          <w:rFonts w:ascii="Times New Roman" w:hAnsi="Times New Roman" w:cs="Times New Roman"/>
          <w:sz w:val="28"/>
          <w:szCs w:val="28"/>
        </w:rPr>
        <w:t>обращения :</w:t>
      </w:r>
      <w:proofErr w:type="gramEnd"/>
      <w:r w:rsidRPr="00150CB0">
        <w:rPr>
          <w:rFonts w:ascii="Times New Roman" w:hAnsi="Times New Roman" w:cs="Times New Roman"/>
          <w:sz w:val="28"/>
          <w:szCs w:val="28"/>
        </w:rPr>
        <w:t xml:space="preserve"> 21.10.2018).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5. Исаева Е. Двор как уходящая натура. [Электронный ресурс]. URL: http://www.isaeva.ru/plays/dvor.html (дата </w:t>
      </w:r>
      <w:proofErr w:type="gramStart"/>
      <w:r w:rsidRPr="00150CB0">
        <w:rPr>
          <w:rFonts w:ascii="Times New Roman" w:hAnsi="Times New Roman" w:cs="Times New Roman"/>
          <w:sz w:val="28"/>
          <w:szCs w:val="28"/>
        </w:rPr>
        <w:t>обращения :</w:t>
      </w:r>
      <w:proofErr w:type="gramEnd"/>
      <w:r w:rsidRPr="00150CB0">
        <w:rPr>
          <w:rFonts w:ascii="Times New Roman" w:hAnsi="Times New Roman" w:cs="Times New Roman"/>
          <w:sz w:val="28"/>
          <w:szCs w:val="28"/>
        </w:rPr>
        <w:t xml:space="preserve"> 21.10.2018).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6. Исаева Е. «Ощущаю ностальгию по нормальным чувствам» [Электронный ресурс]. URL: http://www.isaeva.ru/press.html?id=12 (дата </w:t>
      </w:r>
      <w:proofErr w:type="gramStart"/>
      <w:r w:rsidRPr="00150CB0">
        <w:rPr>
          <w:rFonts w:ascii="Times New Roman" w:hAnsi="Times New Roman" w:cs="Times New Roman"/>
          <w:sz w:val="28"/>
          <w:szCs w:val="28"/>
        </w:rPr>
        <w:t>обращения :</w:t>
      </w:r>
      <w:proofErr w:type="gramEnd"/>
      <w:r w:rsidRPr="00150CB0">
        <w:rPr>
          <w:rFonts w:ascii="Times New Roman" w:hAnsi="Times New Roman" w:cs="Times New Roman"/>
          <w:sz w:val="28"/>
          <w:szCs w:val="28"/>
        </w:rPr>
        <w:t xml:space="preserve"> 21.10.2018).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7. Исаева Е. Последний каприз. [Электронный ресурс]. URL: http://www.isaeva.ru/plays/kapriz.htmlсаева. (</w:t>
      </w:r>
      <w:proofErr w:type="gramStart"/>
      <w:r w:rsidRPr="00150CB0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150CB0">
        <w:rPr>
          <w:rFonts w:ascii="Times New Roman" w:hAnsi="Times New Roman" w:cs="Times New Roman"/>
          <w:sz w:val="28"/>
          <w:szCs w:val="28"/>
        </w:rPr>
        <w:t xml:space="preserve"> обращения : 21.10.2018).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8. Исаева Е. Про мою маму и про меня. [Электронный ресурс]. URL: http://www.isaeva.ru/plays/about.html (дата </w:t>
      </w:r>
      <w:proofErr w:type="gramStart"/>
      <w:r w:rsidRPr="00150CB0">
        <w:rPr>
          <w:rFonts w:ascii="Times New Roman" w:hAnsi="Times New Roman" w:cs="Times New Roman"/>
          <w:sz w:val="28"/>
          <w:szCs w:val="28"/>
        </w:rPr>
        <w:t>обращения :</w:t>
      </w:r>
      <w:proofErr w:type="gramEnd"/>
      <w:r w:rsidRPr="00150CB0">
        <w:rPr>
          <w:rFonts w:ascii="Times New Roman" w:hAnsi="Times New Roman" w:cs="Times New Roman"/>
          <w:sz w:val="28"/>
          <w:szCs w:val="28"/>
        </w:rPr>
        <w:t xml:space="preserve"> 21.10.2018).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>9. Пушкин А. С. Полное собр. соч. в 10 тт.</w:t>
      </w:r>
      <w:r w:rsidRPr="00B96EAC">
        <w:rPr>
          <w:rFonts w:ascii="Times New Roman" w:hAnsi="Times New Roman" w:cs="Times New Roman"/>
          <w:sz w:val="28"/>
          <w:szCs w:val="28"/>
        </w:rPr>
        <w:t xml:space="preserve">/ </w:t>
      </w:r>
      <w:r w:rsidRPr="00150CB0">
        <w:rPr>
          <w:rFonts w:ascii="Times New Roman" w:hAnsi="Times New Roman" w:cs="Times New Roman"/>
          <w:sz w:val="28"/>
          <w:szCs w:val="28"/>
        </w:rPr>
        <w:t>А. С</w:t>
      </w:r>
      <w:r w:rsidRPr="00B96EAC">
        <w:rPr>
          <w:rFonts w:ascii="Times New Roman" w:hAnsi="Times New Roman" w:cs="Times New Roman"/>
          <w:sz w:val="28"/>
          <w:szCs w:val="28"/>
        </w:rPr>
        <w:t>.</w:t>
      </w:r>
      <w:r w:rsidRPr="00150CB0">
        <w:rPr>
          <w:rFonts w:ascii="Times New Roman" w:hAnsi="Times New Roman" w:cs="Times New Roman"/>
          <w:sz w:val="28"/>
          <w:szCs w:val="28"/>
        </w:rPr>
        <w:t xml:space="preserve"> Пушкин</w:t>
      </w:r>
      <w:r w:rsidRPr="00BB3775">
        <w:rPr>
          <w:rFonts w:ascii="Times New Roman" w:hAnsi="Times New Roman" w:cs="Times New Roman"/>
          <w:sz w:val="28"/>
          <w:szCs w:val="28"/>
        </w:rPr>
        <w:t xml:space="preserve"> </w:t>
      </w:r>
      <w:r w:rsidRPr="00B96EAC">
        <w:rPr>
          <w:rFonts w:ascii="Times New Roman" w:hAnsi="Times New Roman" w:cs="Times New Roman"/>
          <w:sz w:val="28"/>
          <w:szCs w:val="28"/>
        </w:rPr>
        <w:t>—</w:t>
      </w:r>
      <w:r w:rsidRPr="00150CB0">
        <w:rPr>
          <w:rFonts w:ascii="Times New Roman" w:hAnsi="Times New Roman" w:cs="Times New Roman"/>
          <w:sz w:val="28"/>
          <w:szCs w:val="28"/>
        </w:rPr>
        <w:t xml:space="preserve"> М.: Наука, </w:t>
      </w:r>
      <w:proofErr w:type="gramStart"/>
      <w:r w:rsidRPr="00150CB0">
        <w:rPr>
          <w:rFonts w:ascii="Times New Roman" w:hAnsi="Times New Roman" w:cs="Times New Roman"/>
          <w:sz w:val="28"/>
          <w:szCs w:val="28"/>
        </w:rPr>
        <w:t>1964.</w:t>
      </w:r>
      <w:r w:rsidRPr="00B96EAC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150CB0">
        <w:rPr>
          <w:rFonts w:ascii="Times New Roman" w:hAnsi="Times New Roman" w:cs="Times New Roman"/>
          <w:sz w:val="28"/>
          <w:szCs w:val="28"/>
        </w:rPr>
        <w:t xml:space="preserve"> Т.5: Евгений Онегин. Драматические </w:t>
      </w:r>
      <w:proofErr w:type="gramStart"/>
      <w:r w:rsidRPr="00150CB0">
        <w:rPr>
          <w:rFonts w:ascii="Times New Roman" w:hAnsi="Times New Roman" w:cs="Times New Roman"/>
          <w:sz w:val="28"/>
          <w:szCs w:val="28"/>
        </w:rPr>
        <w:t>произведения.</w:t>
      </w:r>
      <w:r w:rsidRPr="00094B8F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150CB0">
        <w:rPr>
          <w:rFonts w:ascii="Times New Roman" w:hAnsi="Times New Roman" w:cs="Times New Roman"/>
          <w:sz w:val="28"/>
          <w:szCs w:val="28"/>
        </w:rPr>
        <w:t xml:space="preserve"> 638 с. </w:t>
      </w:r>
    </w:p>
    <w:p w:rsidR="00FC4FAE" w:rsidRPr="00150CB0" w:rsidRDefault="00FC4FAE" w:rsidP="00FC4F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50CB0">
        <w:rPr>
          <w:rFonts w:ascii="Times New Roman" w:hAnsi="Times New Roman" w:cs="Times New Roman"/>
          <w:sz w:val="28"/>
          <w:szCs w:val="28"/>
        </w:rPr>
        <w:t>Тютелова</w:t>
      </w:r>
      <w:proofErr w:type="spellEnd"/>
      <w:r w:rsidRPr="00150CB0">
        <w:rPr>
          <w:rFonts w:ascii="Times New Roman" w:hAnsi="Times New Roman" w:cs="Times New Roman"/>
          <w:sz w:val="28"/>
          <w:szCs w:val="28"/>
        </w:rPr>
        <w:t xml:space="preserve"> Л. Г. Поэтика субъектной сферы русской драмы от романтиков до А. П. Чехова. Диссертация на соискание ученой степени доктора филолог</w:t>
      </w:r>
      <w:proofErr w:type="gramStart"/>
      <w:r w:rsidRPr="00150CB0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Pr="00150CB0">
        <w:rPr>
          <w:rFonts w:ascii="Times New Roman" w:hAnsi="Times New Roman" w:cs="Times New Roman"/>
          <w:sz w:val="28"/>
          <w:szCs w:val="28"/>
        </w:rPr>
        <w:t>.</w:t>
      </w:r>
      <w:r w:rsidRPr="00B96EAC">
        <w:rPr>
          <w:rFonts w:ascii="Times New Roman" w:hAnsi="Times New Roman" w:cs="Times New Roman"/>
          <w:sz w:val="28"/>
          <w:szCs w:val="28"/>
        </w:rPr>
        <w:t xml:space="preserve">  —</w:t>
      </w:r>
      <w:r w:rsidRPr="00150CB0">
        <w:rPr>
          <w:rFonts w:ascii="Times New Roman" w:hAnsi="Times New Roman" w:cs="Times New Roman"/>
          <w:sz w:val="28"/>
          <w:szCs w:val="28"/>
        </w:rPr>
        <w:t xml:space="preserve"> Самара, </w:t>
      </w:r>
      <w:proofErr w:type="gramStart"/>
      <w:r w:rsidRPr="00150CB0">
        <w:rPr>
          <w:rFonts w:ascii="Times New Roman" w:hAnsi="Times New Roman" w:cs="Times New Roman"/>
          <w:sz w:val="28"/>
          <w:szCs w:val="28"/>
        </w:rPr>
        <w:t>2012.</w:t>
      </w:r>
      <w:r w:rsidRPr="00B96EAC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150CB0">
        <w:rPr>
          <w:rFonts w:ascii="Times New Roman" w:hAnsi="Times New Roman" w:cs="Times New Roman"/>
          <w:sz w:val="28"/>
          <w:szCs w:val="28"/>
        </w:rPr>
        <w:t xml:space="preserve"> 507 с.</w:t>
      </w:r>
    </w:p>
    <w:p w:rsidR="0075761C" w:rsidRPr="00FC4FAE" w:rsidRDefault="0075761C">
      <w:bookmarkStart w:id="0" w:name="_GoBack"/>
      <w:bookmarkEnd w:id="0"/>
    </w:p>
    <w:sectPr w:rsidR="0075761C" w:rsidRPr="00FC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6F"/>
    <w:rsid w:val="0047436F"/>
    <w:rsid w:val="0075761C"/>
    <w:rsid w:val="008C3813"/>
    <w:rsid w:val="009D159D"/>
    <w:rsid w:val="00EE4683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5A9B-6F0B-41AE-99ED-AC8C3E93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AE"/>
    <w:pPr>
      <w:spacing w:after="0" w:line="240" w:lineRule="auto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2019-12-02T22:11:00Z</dcterms:created>
  <dcterms:modified xsi:type="dcterms:W3CDTF">2019-12-02T22:11:00Z</dcterms:modified>
</cp:coreProperties>
</file>