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AD" w:rsidRPr="009B6DCF" w:rsidRDefault="003B54AD" w:rsidP="003B54AD">
      <w:pPr>
        <w:jc w:val="center"/>
        <w:rPr>
          <w:b/>
          <w:sz w:val="28"/>
          <w:szCs w:val="28"/>
        </w:rPr>
      </w:pPr>
      <w:r w:rsidRPr="009B6DCF">
        <w:rPr>
          <w:b/>
          <w:sz w:val="28"/>
          <w:szCs w:val="28"/>
        </w:rPr>
        <w:t>ПЛАНИРОВАНИЕ ИСПОЛЬЗОВАНИЯ ОБУЧАЮЩИХ КОМПЬЮТЕРНЫХ ПРОГРАММ И СРЕДСТВ МУЛЬТИМЕДИЯ В ОБРАЗОВАТЕЛЬНОМ ПРОЦЕССЕ ИНОСТРАННОГО ЯЗЫКА</w:t>
      </w:r>
    </w:p>
    <w:p w:rsidR="003B54AD" w:rsidRPr="00583DB4" w:rsidRDefault="003B54AD" w:rsidP="003B54AD">
      <w:pPr>
        <w:jc w:val="center"/>
        <w:rPr>
          <w:sz w:val="28"/>
          <w:szCs w:val="28"/>
        </w:rPr>
      </w:pPr>
    </w:p>
    <w:p w:rsidR="003B54AD" w:rsidRPr="00583DB4" w:rsidRDefault="003B54AD" w:rsidP="003B54AD">
      <w:pPr>
        <w:jc w:val="right"/>
        <w:rPr>
          <w:i/>
          <w:sz w:val="28"/>
          <w:szCs w:val="28"/>
        </w:rPr>
      </w:pPr>
      <w:r w:rsidRPr="00583DB4">
        <w:rPr>
          <w:i/>
          <w:sz w:val="28"/>
          <w:szCs w:val="28"/>
        </w:rPr>
        <w:t>Рутковский И.В.</w:t>
      </w:r>
    </w:p>
    <w:p w:rsidR="003B54AD" w:rsidRDefault="003B54AD" w:rsidP="003B54AD"/>
    <w:p w:rsidR="003B54AD" w:rsidRPr="00583DB4" w:rsidRDefault="003B54AD" w:rsidP="003B54AD">
      <w:pPr>
        <w:spacing w:line="360" w:lineRule="auto"/>
        <w:ind w:firstLine="919"/>
        <w:jc w:val="both"/>
        <w:rPr>
          <w:b/>
          <w:sz w:val="28"/>
          <w:szCs w:val="28"/>
        </w:rPr>
      </w:pPr>
      <w:r w:rsidRPr="00583DB4">
        <w:rPr>
          <w:sz w:val="28"/>
          <w:szCs w:val="28"/>
        </w:rPr>
        <w:t>Процесс обучения иностранному языку предусматривает наличие двух обязательных компонентов: формирование иноязычной (коммуникативной) компетенции и диагностика (контроль знаний, умений и навыков учащихся). Формирование коммуникативной компетенции осуществляется на уроках иностранного языка на протяжении всего процесса обучения, в то время как контроль осуществляется в специально отведенное время, следовательно, его необходимо четко организовать с тем, чтобы в максимально короткое время оценить наибольшее количество учащихся с соблюдением норм качества и объективности результатов.</w:t>
      </w:r>
    </w:p>
    <w:p w:rsidR="003B54AD" w:rsidRPr="00583DB4" w:rsidRDefault="003B54AD" w:rsidP="003B54AD">
      <w:pPr>
        <w:spacing w:line="360" w:lineRule="auto"/>
        <w:ind w:firstLine="919"/>
        <w:jc w:val="both"/>
        <w:rPr>
          <w:sz w:val="28"/>
          <w:szCs w:val="28"/>
        </w:rPr>
      </w:pPr>
      <w:r w:rsidRPr="00583DB4">
        <w:rPr>
          <w:sz w:val="28"/>
          <w:szCs w:val="28"/>
        </w:rPr>
        <w:t>Традиционные формы контроля (самостоятельные и контрольные работы)  требуют много времени (половина урока или целый урок), ощущается сильное эмоциональное напряжение учащихся во время выполнения заданий, слишком много времени занимает проверка результатов. Всё это побуждает методистов искать новые, альтернативные способы осуществления контроля в процессе обучения. Наиболее перспективным направлением в данных исследованиях является тестирование, предлагающее неоспоримые преимущества в виде уменьшения как эмоционального напряжения тестируемых, так и времени для проверки результатов. К тому же тестовая форма контроля дает возможность систематизировать знания учащихся, выявить их потенциальные возможности и определить возможные причины трудностей, а также может считаться приемом повышения интереса обучаемых к процессу обучения.</w:t>
      </w:r>
    </w:p>
    <w:p w:rsidR="003B54AD" w:rsidRPr="00583DB4" w:rsidRDefault="003B54AD" w:rsidP="003B54AD">
      <w:pPr>
        <w:spacing w:line="360" w:lineRule="auto"/>
        <w:ind w:firstLine="919"/>
        <w:jc w:val="both"/>
        <w:rPr>
          <w:sz w:val="28"/>
          <w:szCs w:val="28"/>
        </w:rPr>
      </w:pPr>
      <w:r w:rsidRPr="00583DB4">
        <w:rPr>
          <w:sz w:val="28"/>
          <w:szCs w:val="28"/>
        </w:rPr>
        <w:t xml:space="preserve">Компьютеризированная система контроля открывает широкие возможности для индивидуализации процесса усвоения знаний обучаемыми. Принцип индивидуализации обучения лежит в основе адаптивного тестирования. Адаптивное тестирование — это контроль, который позволяет </w:t>
      </w:r>
      <w:r w:rsidRPr="00583DB4">
        <w:rPr>
          <w:sz w:val="28"/>
          <w:szCs w:val="28"/>
        </w:rPr>
        <w:lastRenderedPageBreak/>
        <w:t>регулировать трудность и число предъявляемых заданий каждому учащемуся в зависимости от его ответа на предыдущее задание: в случае правильного ответа учащийся получит более трудное следующее задание, в случае неправильного ответа — задание легче предыдущего. Режим адаптивного тестирования (и не только тестирования, но и обучения) предполагает набор заданий в тестовой форме, требующих от учащегося работы на пределе своих возможностей и обеспечивающих тем самым максимальный эффект. Использование заданий, соответствующих уровню подготовки ученика в адаптивном тестировании, повышает точность измерений, сокращает время индивидуального тестирования. При составлении тестов необходимо помнить о том, что они проверяют знания иностранного языка, а не что-либо другое. На основе анализа результатов адаптивного тестирования можно строить процесс обучения с позиций личностно ориентированного подхода, т. е. отбирать учебные задания на оптимальном уровне трудности для каждого ученика. Известно, что легкие задания не способствуют развитию, а трудные — снижают мотивацию обучения.</w:t>
      </w:r>
    </w:p>
    <w:p w:rsidR="003B54AD" w:rsidRDefault="003B54AD" w:rsidP="003B54AD">
      <w:pPr>
        <w:pStyle w:val="HTML"/>
        <w:spacing w:line="360" w:lineRule="auto"/>
        <w:ind w:firstLine="919"/>
        <w:jc w:val="both"/>
        <w:rPr>
          <w:rFonts w:ascii="Times New Roman" w:hAnsi="Times New Roman" w:cs="Times New Roman"/>
          <w:color w:val="000000"/>
          <w:sz w:val="28"/>
          <w:szCs w:val="28"/>
        </w:rPr>
      </w:pPr>
      <w:r w:rsidRPr="00583DB4">
        <w:rPr>
          <w:rFonts w:ascii="Times New Roman" w:hAnsi="Times New Roman" w:cs="Times New Roman"/>
          <w:color w:val="000000"/>
          <w:sz w:val="28"/>
          <w:szCs w:val="28"/>
        </w:rPr>
        <w:t xml:space="preserve">Обучающие тесты  представляют  собой  важный  промежуточный этап в работе по овладению языковым  материалом,  развитию  речевых  умений, освоению  различных  видов  аудирования  и  чтения. </w:t>
      </w:r>
    </w:p>
    <w:p w:rsidR="003B54AD" w:rsidRPr="00583DB4" w:rsidRDefault="003B54AD" w:rsidP="003B54AD">
      <w:pPr>
        <w:pStyle w:val="HTML"/>
        <w:spacing w:line="360" w:lineRule="auto"/>
        <w:ind w:firstLine="919"/>
        <w:jc w:val="both"/>
        <w:rPr>
          <w:rFonts w:ascii="Times New Roman" w:hAnsi="Times New Roman" w:cs="Times New Roman"/>
          <w:color w:val="000000"/>
          <w:sz w:val="28"/>
          <w:szCs w:val="28"/>
        </w:rPr>
      </w:pPr>
    </w:p>
    <w:p w:rsidR="003B54AD" w:rsidRPr="00123221" w:rsidRDefault="003B54AD" w:rsidP="003B54AD">
      <w:pPr>
        <w:spacing w:line="240" w:lineRule="atLeast"/>
        <w:ind w:firstLine="709"/>
        <w:jc w:val="center"/>
        <w:rPr>
          <w:b/>
          <w:i/>
          <w:sz w:val="28"/>
        </w:rPr>
      </w:pPr>
      <w:r>
        <w:rPr>
          <w:b/>
          <w:i/>
          <w:sz w:val="28"/>
        </w:rPr>
        <w:t>Библиографический список</w:t>
      </w:r>
    </w:p>
    <w:p w:rsidR="003B54AD" w:rsidRPr="00583DB4" w:rsidRDefault="003B54AD" w:rsidP="003B54AD">
      <w:pPr>
        <w:pStyle w:val="HTML"/>
        <w:spacing w:line="240" w:lineRule="atLeast"/>
        <w:ind w:firstLine="919"/>
        <w:jc w:val="both"/>
        <w:rPr>
          <w:rFonts w:ascii="Times New Roman" w:hAnsi="Times New Roman" w:cs="Times New Roman"/>
          <w:color w:val="000000"/>
          <w:sz w:val="28"/>
          <w:szCs w:val="28"/>
        </w:rPr>
      </w:pPr>
      <w:r w:rsidRPr="00583DB4">
        <w:rPr>
          <w:rFonts w:ascii="Times New Roman" w:hAnsi="Times New Roman" w:cs="Times New Roman"/>
          <w:color w:val="000000"/>
          <w:sz w:val="28"/>
          <w:szCs w:val="28"/>
        </w:rPr>
        <w:t>1.</w:t>
      </w:r>
      <w:r w:rsidRPr="002441A3">
        <w:rPr>
          <w:rFonts w:ascii="Times New Roman" w:hAnsi="Times New Roman" w:cs="Times New Roman"/>
          <w:b/>
          <w:color w:val="000000"/>
          <w:sz w:val="28"/>
          <w:szCs w:val="28"/>
        </w:rPr>
        <w:t>Аванесов, В.С.</w:t>
      </w:r>
      <w:r w:rsidRPr="00583DB4">
        <w:rPr>
          <w:rFonts w:ascii="Times New Roman" w:hAnsi="Times New Roman" w:cs="Times New Roman"/>
          <w:color w:val="000000"/>
          <w:sz w:val="28"/>
          <w:szCs w:val="28"/>
        </w:rPr>
        <w:t xml:space="preserve"> Форма тестовых заданий: учеб. Пособие для учителей школ, лицеев, преподавателей вузов и колледжей/ В.С. Аванесов. – 2-е изд. – М.,2005, - 156с.</w:t>
      </w:r>
    </w:p>
    <w:p w:rsidR="003B54AD" w:rsidRPr="00583DB4" w:rsidRDefault="003B54AD" w:rsidP="003B54AD">
      <w:pPr>
        <w:spacing w:line="240" w:lineRule="atLeast"/>
        <w:ind w:firstLine="919"/>
        <w:jc w:val="both"/>
        <w:rPr>
          <w:sz w:val="28"/>
          <w:szCs w:val="28"/>
        </w:rPr>
      </w:pPr>
      <w:r w:rsidRPr="00583DB4">
        <w:rPr>
          <w:sz w:val="28"/>
          <w:szCs w:val="28"/>
        </w:rPr>
        <w:t>2.</w:t>
      </w:r>
      <w:r w:rsidRPr="002441A3">
        <w:rPr>
          <w:b/>
          <w:sz w:val="28"/>
          <w:szCs w:val="28"/>
        </w:rPr>
        <w:t>Аванесов В.С.</w:t>
      </w:r>
      <w:r w:rsidRPr="00583DB4">
        <w:rPr>
          <w:sz w:val="28"/>
          <w:szCs w:val="28"/>
        </w:rPr>
        <w:t xml:space="preserve"> Композиция тестовых заданий: Учеб. Книга.- 2002.-с.240- 248.</w:t>
      </w:r>
    </w:p>
    <w:p w:rsidR="003B54AD" w:rsidRPr="00583DB4" w:rsidRDefault="003B54AD" w:rsidP="003B54AD">
      <w:pPr>
        <w:pStyle w:val="HTML"/>
        <w:spacing w:line="240" w:lineRule="atLeast"/>
        <w:ind w:firstLine="919"/>
        <w:jc w:val="both"/>
        <w:rPr>
          <w:rFonts w:ascii="Times New Roman" w:hAnsi="Times New Roman" w:cs="Times New Roman"/>
          <w:color w:val="000000"/>
          <w:sz w:val="28"/>
          <w:szCs w:val="28"/>
        </w:rPr>
      </w:pPr>
      <w:r w:rsidRPr="00583DB4">
        <w:rPr>
          <w:rFonts w:ascii="Times New Roman" w:hAnsi="Times New Roman" w:cs="Times New Roman"/>
          <w:color w:val="000000"/>
          <w:sz w:val="28"/>
          <w:szCs w:val="28"/>
        </w:rPr>
        <w:t xml:space="preserve">3. </w:t>
      </w:r>
      <w:r w:rsidRPr="002441A3">
        <w:rPr>
          <w:rFonts w:ascii="Times New Roman" w:hAnsi="Times New Roman" w:cs="Times New Roman"/>
          <w:b/>
          <w:color w:val="000000"/>
          <w:sz w:val="28"/>
          <w:szCs w:val="28"/>
        </w:rPr>
        <w:t>Балыкина, Е.Н.</w:t>
      </w:r>
      <w:r w:rsidRPr="00583DB4">
        <w:rPr>
          <w:rFonts w:ascii="Times New Roman" w:hAnsi="Times New Roman" w:cs="Times New Roman"/>
          <w:color w:val="000000"/>
          <w:sz w:val="28"/>
          <w:szCs w:val="28"/>
        </w:rPr>
        <w:t xml:space="preserve"> Тестовые среды: теория и практика( на примере социально-гуманитарных дисциплин). </w:t>
      </w:r>
      <w:r w:rsidRPr="00583DB4">
        <w:rPr>
          <w:rFonts w:ascii="Times New Roman" w:hAnsi="Times New Roman" w:cs="Times New Roman"/>
          <w:sz w:val="28"/>
          <w:szCs w:val="28"/>
        </w:rPr>
        <w:t>– Минск: РИВШ, 2007. – 126с.</w:t>
      </w:r>
      <w:r w:rsidRPr="00583DB4">
        <w:rPr>
          <w:rFonts w:ascii="Times New Roman" w:hAnsi="Times New Roman" w:cs="Times New Roman"/>
          <w:color w:val="000000"/>
          <w:sz w:val="28"/>
          <w:szCs w:val="28"/>
        </w:rPr>
        <w:t xml:space="preserve"> </w:t>
      </w:r>
    </w:p>
    <w:p w:rsidR="003B54AD" w:rsidRPr="00583DB4" w:rsidRDefault="003B54AD" w:rsidP="003B54AD">
      <w:pPr>
        <w:spacing w:line="240" w:lineRule="atLeast"/>
        <w:ind w:firstLine="919"/>
        <w:jc w:val="both"/>
        <w:rPr>
          <w:sz w:val="28"/>
          <w:szCs w:val="28"/>
        </w:rPr>
      </w:pPr>
      <w:r w:rsidRPr="00583DB4">
        <w:rPr>
          <w:sz w:val="28"/>
          <w:szCs w:val="28"/>
        </w:rPr>
        <w:t xml:space="preserve">4. </w:t>
      </w:r>
      <w:r w:rsidRPr="002441A3">
        <w:rPr>
          <w:b/>
          <w:sz w:val="28"/>
          <w:szCs w:val="28"/>
        </w:rPr>
        <w:t>Михайлычев Е.А.</w:t>
      </w:r>
      <w:r w:rsidRPr="00583DB4">
        <w:rPr>
          <w:sz w:val="28"/>
          <w:szCs w:val="28"/>
        </w:rPr>
        <w:t xml:space="preserve"> Технология стандартизации дидактических тестов.// Те</w:t>
      </w:r>
      <w:r w:rsidRPr="00583DB4">
        <w:rPr>
          <w:sz w:val="28"/>
          <w:szCs w:val="28"/>
        </w:rPr>
        <w:t>х</w:t>
      </w:r>
      <w:r w:rsidRPr="00583DB4">
        <w:rPr>
          <w:sz w:val="28"/>
          <w:szCs w:val="28"/>
        </w:rPr>
        <w:t>нологизация образования.- №3-2004 с.64- 66.</w:t>
      </w:r>
    </w:p>
    <w:p w:rsidR="003B54AD" w:rsidRPr="00583DB4" w:rsidRDefault="003B54AD" w:rsidP="003B54AD">
      <w:pPr>
        <w:spacing w:line="240" w:lineRule="atLeast"/>
        <w:ind w:firstLine="919"/>
        <w:jc w:val="both"/>
        <w:rPr>
          <w:sz w:val="28"/>
          <w:szCs w:val="28"/>
        </w:rPr>
      </w:pPr>
      <w:r w:rsidRPr="00583DB4">
        <w:rPr>
          <w:sz w:val="28"/>
          <w:szCs w:val="28"/>
        </w:rPr>
        <w:t xml:space="preserve">5. </w:t>
      </w:r>
      <w:r w:rsidRPr="002441A3">
        <w:rPr>
          <w:b/>
          <w:sz w:val="28"/>
          <w:szCs w:val="28"/>
        </w:rPr>
        <w:t>Чернышева Н.Д.</w:t>
      </w:r>
      <w:r w:rsidRPr="00583DB4">
        <w:rPr>
          <w:sz w:val="28"/>
          <w:szCs w:val="28"/>
        </w:rPr>
        <w:t xml:space="preserve"> Использование тестирования при обучении иностранному языку// Компьютерное тестирование -№3-2005 с.92- 94.</w:t>
      </w:r>
    </w:p>
    <w:p w:rsidR="003B54AD" w:rsidRPr="00583DB4" w:rsidRDefault="003B54AD" w:rsidP="003B54AD">
      <w:pPr>
        <w:spacing w:line="240" w:lineRule="atLeast"/>
        <w:ind w:firstLine="919"/>
        <w:jc w:val="both"/>
        <w:rPr>
          <w:sz w:val="28"/>
          <w:szCs w:val="28"/>
        </w:rPr>
      </w:pPr>
      <w:r w:rsidRPr="00583DB4">
        <w:rPr>
          <w:sz w:val="28"/>
          <w:szCs w:val="28"/>
        </w:rPr>
        <w:t>6.</w:t>
      </w:r>
      <w:r w:rsidRPr="002441A3">
        <w:rPr>
          <w:b/>
          <w:sz w:val="28"/>
          <w:szCs w:val="28"/>
        </w:rPr>
        <w:t>Челышкова М.Б.</w:t>
      </w:r>
      <w:r w:rsidRPr="00583DB4">
        <w:rPr>
          <w:sz w:val="28"/>
          <w:szCs w:val="28"/>
        </w:rPr>
        <w:t xml:space="preserve"> Теория  и практика конструирования педагогических те</w:t>
      </w:r>
      <w:r w:rsidRPr="00583DB4">
        <w:rPr>
          <w:sz w:val="28"/>
          <w:szCs w:val="28"/>
        </w:rPr>
        <w:t>с</w:t>
      </w:r>
      <w:r w:rsidRPr="00583DB4">
        <w:rPr>
          <w:sz w:val="28"/>
          <w:szCs w:val="28"/>
        </w:rPr>
        <w:t>тов.- №3- 2002 с.43-47</w:t>
      </w:r>
    </w:p>
    <w:p w:rsidR="003B54AD" w:rsidRDefault="003B54AD" w:rsidP="003B54AD">
      <w:pPr>
        <w:spacing w:line="360" w:lineRule="auto"/>
        <w:rPr>
          <w:sz w:val="28"/>
          <w:szCs w:val="28"/>
        </w:rPr>
      </w:pPr>
    </w:p>
    <w:p w:rsidR="003A1F69" w:rsidRPr="003B54AD" w:rsidRDefault="003A1F69" w:rsidP="003B54AD"/>
    <w:sectPr w:rsidR="003A1F69" w:rsidRPr="003B54AD" w:rsidSect="00890E0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99C" w:rsidRDefault="00FF399C" w:rsidP="00890E00">
      <w:r>
        <w:separator/>
      </w:r>
    </w:p>
  </w:endnote>
  <w:endnote w:type="continuationSeparator" w:id="1">
    <w:p w:rsidR="00FF399C" w:rsidRDefault="00FF399C" w:rsidP="00890E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01" w:rsidRDefault="00FC5F30">
    <w:pPr>
      <w:pStyle w:val="a9"/>
      <w:jc w:val="center"/>
    </w:pPr>
    <w:r>
      <w:fldChar w:fldCharType="begin"/>
    </w:r>
    <w:r w:rsidR="005E426C">
      <w:instrText>PAGE   \* MERGEFORMAT</w:instrText>
    </w:r>
    <w:r>
      <w:fldChar w:fldCharType="separate"/>
    </w:r>
    <w:r w:rsidR="003B54AD">
      <w:rPr>
        <w:noProof/>
      </w:rPr>
      <w:t>2</w:t>
    </w:r>
    <w:r>
      <w:fldChar w:fldCharType="end"/>
    </w:r>
  </w:p>
  <w:p w:rsidR="00266D01" w:rsidRDefault="00FF39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99C" w:rsidRDefault="00FF399C" w:rsidP="00890E00">
      <w:r>
        <w:separator/>
      </w:r>
    </w:p>
  </w:footnote>
  <w:footnote w:type="continuationSeparator" w:id="1">
    <w:p w:rsidR="00FF399C" w:rsidRDefault="00FF399C" w:rsidP="00890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24FD0"/>
    <w:multiLevelType w:val="hybridMultilevel"/>
    <w:tmpl w:val="D2488D4C"/>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EF2701F"/>
    <w:multiLevelType w:val="hybridMultilevel"/>
    <w:tmpl w:val="9E3013E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B77A50EE">
      <w:start w:val="1"/>
      <w:numFmt w:val="decimal"/>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4A21AD"/>
    <w:multiLevelType w:val="hybridMultilevel"/>
    <w:tmpl w:val="60343F88"/>
    <w:lvl w:ilvl="0" w:tplc="FFFFFFFF">
      <w:start w:val="1"/>
      <w:numFmt w:val="decimal"/>
      <w:lvlText w:val="%1)"/>
      <w:lvlJc w:val="left"/>
      <w:pPr>
        <w:ind w:left="1068"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60A7BB4"/>
    <w:multiLevelType w:val="hybridMultilevel"/>
    <w:tmpl w:val="3496B772"/>
    <w:lvl w:ilvl="0" w:tplc="AEB8441C">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2A40880"/>
    <w:multiLevelType w:val="hybridMultilevel"/>
    <w:tmpl w:val="697AF7C8"/>
    <w:lvl w:ilvl="0" w:tplc="F9D4BDC2">
      <w:start w:val="1"/>
      <w:numFmt w:val="decimal"/>
      <w:lvlText w:val="%1."/>
      <w:lvlJc w:val="left"/>
      <w:pPr>
        <w:ind w:left="360" w:hanging="360"/>
      </w:pPr>
      <w:rPr>
        <w:rFonts w:cs="Times New Roman"/>
        <w:b/>
        <w:bCs/>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E3A0987"/>
    <w:multiLevelType w:val="hybridMultilevel"/>
    <w:tmpl w:val="15469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37519FE"/>
    <w:multiLevelType w:val="multilevel"/>
    <w:tmpl w:val="AB821EE0"/>
    <w:lvl w:ilvl="0">
      <w:start w:val="1"/>
      <w:numFmt w:val="decimal"/>
      <w:lvlText w:val="%1."/>
      <w:lvlJc w:val="left"/>
      <w:pPr>
        <w:ind w:left="720" w:hanging="360"/>
      </w:pPr>
      <w:rPr>
        <w:b w:val="0"/>
        <w:bCs/>
      </w:rPr>
    </w:lvl>
    <w:lvl w:ilvl="1">
      <w:start w:val="1"/>
      <w:numFmt w:val="lowerLetter"/>
      <w:lvlText w:val="%2."/>
      <w:lvlJc w:val="left"/>
      <w:pPr>
        <w:ind w:left="1506" w:hanging="360"/>
      </w:pPr>
    </w:lvl>
    <w:lvl w:ilvl="2">
      <w:start w:val="1"/>
      <w:numFmt w:val="lowerRoman"/>
      <w:lvlText w:val="%3."/>
      <w:lvlJc w:val="right"/>
      <w:pPr>
        <w:ind w:left="2225"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5"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5" w:hanging="180"/>
      </w:pPr>
    </w:lvl>
  </w:abstractNum>
  <w:abstractNum w:abstractNumId="7">
    <w:nsid w:val="4F4B34B7"/>
    <w:multiLevelType w:val="hybridMultilevel"/>
    <w:tmpl w:val="39640CA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4FBE7751"/>
    <w:multiLevelType w:val="hybridMultilevel"/>
    <w:tmpl w:val="D65AC0B6"/>
    <w:lvl w:ilvl="0" w:tplc="038C556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8D76B2D"/>
    <w:multiLevelType w:val="hybridMultilevel"/>
    <w:tmpl w:val="E86896D6"/>
    <w:lvl w:ilvl="0" w:tplc="FA1A77F0">
      <w:start w:val="1"/>
      <w:numFmt w:val="decimal"/>
      <w:lvlText w:val="%1."/>
      <w:lvlJc w:val="left"/>
      <w:pPr>
        <w:ind w:left="3192" w:hanging="360"/>
      </w:pPr>
      <w:rPr>
        <w:rFonts w:cs="Times New Roman"/>
        <w:color w:val="auto"/>
      </w:rPr>
    </w:lvl>
    <w:lvl w:ilvl="1" w:tplc="04190019">
      <w:start w:val="1"/>
      <w:numFmt w:val="lowerLetter"/>
      <w:lvlText w:val="%2."/>
      <w:lvlJc w:val="left"/>
      <w:pPr>
        <w:ind w:left="3912"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0F90C46"/>
    <w:multiLevelType w:val="hybridMultilevel"/>
    <w:tmpl w:val="06820B1E"/>
    <w:lvl w:ilvl="0" w:tplc="B07AC352">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FD0DEE"/>
    <w:multiLevelType w:val="hybridMultilevel"/>
    <w:tmpl w:val="59324952"/>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AAD31B5"/>
    <w:multiLevelType w:val="singleLevel"/>
    <w:tmpl w:val="63F2CC44"/>
    <w:lvl w:ilvl="0">
      <w:start w:val="1"/>
      <w:numFmt w:val="decimal"/>
      <w:lvlText w:val="%1."/>
      <w:legacy w:legacy="1" w:legacySpace="0" w:legacyIndent="336"/>
      <w:lvlJc w:val="left"/>
      <w:rPr>
        <w:rFonts w:ascii="Times New Roman" w:hAnsi="Times New Roman" w:cs="Times New Roman" w:hint="default"/>
      </w:rPr>
    </w:lvl>
  </w:abstractNum>
  <w:num w:numId="1">
    <w:abstractNumId w:val="7"/>
  </w:num>
  <w:num w:numId="2">
    <w:abstractNumId w:val="10"/>
  </w:num>
  <w:num w:numId="3">
    <w:abstractNumId w:val="1"/>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141"/>
  <w:characterSpacingControl w:val="doNotCompress"/>
  <w:footnotePr>
    <w:footnote w:id="0"/>
    <w:footnote w:id="1"/>
  </w:footnotePr>
  <w:endnotePr>
    <w:endnote w:id="0"/>
    <w:endnote w:id="1"/>
  </w:endnotePr>
  <w:compat>
    <w:useFELayout/>
  </w:compat>
  <w:rsids>
    <w:rsidRoot w:val="009816F0"/>
    <w:rsid w:val="000E6615"/>
    <w:rsid w:val="001808DD"/>
    <w:rsid w:val="00191C57"/>
    <w:rsid w:val="001D7D6F"/>
    <w:rsid w:val="00276EED"/>
    <w:rsid w:val="002C04C8"/>
    <w:rsid w:val="002C31F6"/>
    <w:rsid w:val="002F2526"/>
    <w:rsid w:val="003A1F69"/>
    <w:rsid w:val="003B54AD"/>
    <w:rsid w:val="00425854"/>
    <w:rsid w:val="004C294E"/>
    <w:rsid w:val="004C6500"/>
    <w:rsid w:val="004F2A6B"/>
    <w:rsid w:val="005437F2"/>
    <w:rsid w:val="00566619"/>
    <w:rsid w:val="005B29F1"/>
    <w:rsid w:val="005E426C"/>
    <w:rsid w:val="00693D03"/>
    <w:rsid w:val="00784731"/>
    <w:rsid w:val="007A3186"/>
    <w:rsid w:val="00823329"/>
    <w:rsid w:val="008608A5"/>
    <w:rsid w:val="00890E00"/>
    <w:rsid w:val="008D5711"/>
    <w:rsid w:val="009509FB"/>
    <w:rsid w:val="009816F0"/>
    <w:rsid w:val="00A6428A"/>
    <w:rsid w:val="00B65D73"/>
    <w:rsid w:val="00B75AB2"/>
    <w:rsid w:val="00D66718"/>
    <w:rsid w:val="00FC5F30"/>
    <w:rsid w:val="00FF399C"/>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F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F2A6B"/>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qFormat/>
    <w:rsid w:val="004F2A6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9816F0"/>
    <w:rPr>
      <w:vertAlign w:val="superscript"/>
    </w:rPr>
  </w:style>
  <w:style w:type="character" w:customStyle="1" w:styleId="10">
    <w:name w:val="Заголовок 1 Знак"/>
    <w:basedOn w:val="a0"/>
    <w:link w:val="1"/>
    <w:rsid w:val="004F2A6B"/>
    <w:rPr>
      <w:rFonts w:ascii="Cambria" w:eastAsia="Times New Roman" w:hAnsi="Cambria" w:cs="Times New Roman"/>
      <w:b/>
      <w:bCs/>
      <w:color w:val="365F91"/>
      <w:sz w:val="28"/>
      <w:szCs w:val="28"/>
      <w:lang w:val="ru-RU" w:eastAsia="ru-RU"/>
    </w:rPr>
  </w:style>
  <w:style w:type="character" w:customStyle="1" w:styleId="20">
    <w:name w:val="Заголовок 2 Знак"/>
    <w:basedOn w:val="a0"/>
    <w:link w:val="2"/>
    <w:rsid w:val="004F2A6B"/>
    <w:rPr>
      <w:rFonts w:ascii="Arial" w:eastAsia="Times New Roman" w:hAnsi="Arial" w:cs="Arial"/>
      <w:b/>
      <w:bCs/>
      <w:i/>
      <w:iCs/>
      <w:sz w:val="28"/>
      <w:szCs w:val="28"/>
      <w:lang w:val="ru-RU" w:eastAsia="ru-RU"/>
    </w:rPr>
  </w:style>
  <w:style w:type="character" w:styleId="a4">
    <w:name w:val="Strong"/>
    <w:qFormat/>
    <w:rsid w:val="002C31F6"/>
    <w:rPr>
      <w:b/>
      <w:bCs/>
    </w:rPr>
  </w:style>
  <w:style w:type="paragraph" w:styleId="a5">
    <w:name w:val="Body Text Indent"/>
    <w:basedOn w:val="a"/>
    <w:link w:val="a6"/>
    <w:rsid w:val="002C31F6"/>
    <w:pPr>
      <w:spacing w:after="120"/>
      <w:ind w:left="283"/>
    </w:pPr>
  </w:style>
  <w:style w:type="character" w:customStyle="1" w:styleId="a6">
    <w:name w:val="Основной текст с отступом Знак"/>
    <w:basedOn w:val="a0"/>
    <w:link w:val="a5"/>
    <w:rsid w:val="002C31F6"/>
    <w:rPr>
      <w:rFonts w:ascii="Times New Roman" w:eastAsia="Times New Roman" w:hAnsi="Times New Roman" w:cs="Times New Roman"/>
      <w:sz w:val="24"/>
      <w:szCs w:val="24"/>
      <w:lang w:val="ru-RU" w:eastAsia="ru-RU"/>
    </w:rPr>
  </w:style>
  <w:style w:type="paragraph" w:styleId="a7">
    <w:name w:val="Subtitle"/>
    <w:basedOn w:val="a"/>
    <w:link w:val="a8"/>
    <w:qFormat/>
    <w:rsid w:val="002C31F6"/>
    <w:pPr>
      <w:ind w:firstLine="540"/>
      <w:jc w:val="both"/>
    </w:pPr>
    <w:rPr>
      <w:sz w:val="28"/>
    </w:rPr>
  </w:style>
  <w:style w:type="character" w:customStyle="1" w:styleId="a8">
    <w:name w:val="Подзаголовок Знак"/>
    <w:basedOn w:val="a0"/>
    <w:link w:val="a7"/>
    <w:rsid w:val="002C31F6"/>
    <w:rPr>
      <w:rFonts w:ascii="Times New Roman" w:eastAsia="Times New Roman" w:hAnsi="Times New Roman" w:cs="Times New Roman"/>
      <w:sz w:val="28"/>
      <w:szCs w:val="24"/>
      <w:lang w:val="ru-RU" w:eastAsia="ru-RU"/>
    </w:rPr>
  </w:style>
  <w:style w:type="paragraph" w:customStyle="1" w:styleId="11">
    <w:name w:val="Абзац списка1"/>
    <w:basedOn w:val="a"/>
    <w:rsid w:val="002F2526"/>
    <w:pPr>
      <w:ind w:left="720"/>
    </w:pPr>
    <w:rPr>
      <w:rFonts w:eastAsia="Calibri"/>
    </w:rPr>
  </w:style>
  <w:style w:type="paragraph" w:styleId="a9">
    <w:name w:val="footer"/>
    <w:basedOn w:val="a"/>
    <w:link w:val="aa"/>
    <w:uiPriority w:val="99"/>
    <w:rsid w:val="005E426C"/>
    <w:pPr>
      <w:tabs>
        <w:tab w:val="center" w:pos="4677"/>
        <w:tab w:val="right" w:pos="9355"/>
      </w:tabs>
    </w:pPr>
  </w:style>
  <w:style w:type="character" w:customStyle="1" w:styleId="aa">
    <w:name w:val="Нижний колонтитул Знак"/>
    <w:basedOn w:val="a0"/>
    <w:link w:val="a9"/>
    <w:uiPriority w:val="99"/>
    <w:rsid w:val="005E426C"/>
    <w:rPr>
      <w:rFonts w:ascii="Times New Roman" w:eastAsia="Times New Roman" w:hAnsi="Times New Roman" w:cs="Times New Roman"/>
      <w:sz w:val="24"/>
      <w:szCs w:val="24"/>
      <w:lang w:val="ru-RU" w:eastAsia="ru-RU"/>
    </w:rPr>
  </w:style>
  <w:style w:type="paragraph" w:customStyle="1" w:styleId="Textbody">
    <w:name w:val="Text body"/>
    <w:basedOn w:val="a"/>
    <w:rsid w:val="007A3186"/>
    <w:pPr>
      <w:widowControl w:val="0"/>
      <w:suppressAutoHyphens/>
      <w:autoSpaceDN w:val="0"/>
      <w:spacing w:after="120"/>
      <w:textAlignment w:val="baseline"/>
    </w:pPr>
    <w:rPr>
      <w:rFonts w:eastAsia="Lucida Sans Unicode" w:cs="Tahoma"/>
      <w:color w:val="000000"/>
      <w:kern w:val="3"/>
      <w:lang w:val="en-US" w:eastAsia="en-US" w:bidi="en-US"/>
    </w:rPr>
  </w:style>
  <w:style w:type="paragraph" w:styleId="ab">
    <w:name w:val="List Paragraph"/>
    <w:basedOn w:val="a"/>
    <w:qFormat/>
    <w:rsid w:val="007A3186"/>
    <w:pPr>
      <w:spacing w:after="200" w:line="276" w:lineRule="auto"/>
      <w:ind w:left="720"/>
      <w:contextualSpacing/>
    </w:pPr>
    <w:rPr>
      <w:rFonts w:ascii="Calibri" w:eastAsia="Calibri" w:hAnsi="Calibri"/>
      <w:sz w:val="22"/>
      <w:szCs w:val="22"/>
      <w:lang w:val="en-US" w:eastAsia="en-US" w:bidi="en-US"/>
    </w:rPr>
  </w:style>
  <w:style w:type="character" w:styleId="ac">
    <w:name w:val="Emphasis"/>
    <w:qFormat/>
    <w:rsid w:val="007A3186"/>
    <w:rPr>
      <w:i/>
      <w:iCs/>
    </w:rPr>
  </w:style>
  <w:style w:type="character" w:customStyle="1" w:styleId="StrongEmphasis">
    <w:name w:val="Strong Emphasis"/>
    <w:rsid w:val="007A3186"/>
    <w:rPr>
      <w:b/>
      <w:bCs/>
    </w:rPr>
  </w:style>
  <w:style w:type="paragraph" w:customStyle="1" w:styleId="21">
    <w:name w:val="Для реферата 2"/>
    <w:basedOn w:val="Textbody"/>
    <w:rsid w:val="007A3186"/>
    <w:pPr>
      <w:jc w:val="center"/>
    </w:pPr>
    <w:rPr>
      <w:b/>
      <w:sz w:val="32"/>
      <w:szCs w:val="28"/>
      <w:lang w:val="ru-RU"/>
    </w:rPr>
  </w:style>
  <w:style w:type="paragraph" w:styleId="ad">
    <w:name w:val="Normal (Web)"/>
    <w:basedOn w:val="a"/>
    <w:unhideWhenUsed/>
    <w:rsid w:val="004C294E"/>
    <w:pPr>
      <w:spacing w:before="100" w:beforeAutospacing="1" w:after="100" w:afterAutospacing="1"/>
      <w:ind w:firstLine="480"/>
    </w:pPr>
    <w:rPr>
      <w:lang w:val="en-US" w:eastAsia="en-US"/>
    </w:rPr>
  </w:style>
  <w:style w:type="paragraph" w:styleId="HTML">
    <w:name w:val="HTML Preformatted"/>
    <w:basedOn w:val="a"/>
    <w:link w:val="HTML0"/>
    <w:rsid w:val="00823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23329"/>
    <w:rPr>
      <w:rFonts w:ascii="Courier New" w:eastAsia="Times New Roman" w:hAnsi="Courier New" w:cs="Courier New"/>
      <w:sz w:val="20"/>
      <w:szCs w:val="20"/>
      <w:lang w:val="ru-RU" w:eastAsia="ru-RU"/>
    </w:rPr>
  </w:style>
  <w:style w:type="paragraph" w:customStyle="1" w:styleId="22">
    <w:name w:val="Абзац списка2"/>
    <w:basedOn w:val="a"/>
    <w:rsid w:val="00823329"/>
    <w:pPr>
      <w:spacing w:line="360" w:lineRule="auto"/>
      <w:ind w:left="720"/>
      <w:jc w:val="both"/>
    </w:pPr>
    <w:rPr>
      <w:color w:val="4F81BD"/>
      <w:sz w:val="28"/>
      <w:szCs w:val="28"/>
      <w:lang w:eastAsia="en-US"/>
    </w:rPr>
  </w:style>
  <w:style w:type="character" w:customStyle="1" w:styleId="6">
    <w:name w:val="Основной текст (6)_"/>
    <w:link w:val="60"/>
    <w:rsid w:val="00B65D73"/>
    <w:rPr>
      <w:rFonts w:ascii="Sylfaen" w:hAnsi="Sylfaen"/>
      <w:b/>
      <w:bCs/>
      <w:sz w:val="19"/>
      <w:szCs w:val="19"/>
      <w:shd w:val="clear" w:color="auto" w:fill="FFFFFF"/>
    </w:rPr>
  </w:style>
  <w:style w:type="paragraph" w:customStyle="1" w:styleId="60">
    <w:name w:val="Основной текст (6)"/>
    <w:basedOn w:val="a"/>
    <w:link w:val="6"/>
    <w:rsid w:val="00B65D73"/>
    <w:pPr>
      <w:widowControl w:val="0"/>
      <w:shd w:val="clear" w:color="auto" w:fill="FFFFFF"/>
      <w:spacing w:after="180" w:line="216" w:lineRule="exact"/>
    </w:pPr>
    <w:rPr>
      <w:rFonts w:ascii="Sylfaen" w:eastAsiaTheme="minorEastAsia" w:hAnsi="Sylfaen" w:cstheme="minorBidi"/>
      <w:b/>
      <w:bCs/>
      <w:sz w:val="19"/>
      <w:szCs w:val="19"/>
      <w:lang w:val="be-BY" w:eastAsia="zh-CN"/>
    </w:rPr>
  </w:style>
  <w:style w:type="character" w:styleId="ae">
    <w:name w:val="Hyperlink"/>
    <w:rsid w:val="00B65D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3285</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14</cp:revision>
  <dcterms:created xsi:type="dcterms:W3CDTF">2012-11-02T10:03:00Z</dcterms:created>
  <dcterms:modified xsi:type="dcterms:W3CDTF">2012-11-02T10:46:00Z</dcterms:modified>
</cp:coreProperties>
</file>