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8A" w:rsidRPr="00E843DA" w:rsidRDefault="0004728A" w:rsidP="0004728A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НЕГАТИВНО-ОЦЕНОЧНАЯ ЛЕКСИКА АНГЛИЙСКОГО ЯЗЫКА В </w:t>
      </w:r>
      <w:r w:rsidRPr="00E843D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ВЕКЕ</w:t>
      </w:r>
    </w:p>
    <w:p w:rsidR="0004728A" w:rsidRDefault="0004728A" w:rsidP="0004728A">
      <w:pPr>
        <w:spacing w:line="360" w:lineRule="auto"/>
        <w:ind w:firstLine="709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Никитенко Т.В.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Лексика современного английского языка представляет собой результат развития английского языка в разные периоды его истории. При попытке приблизительного подсчета по данным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всех новых слов и значений, которые появились 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в., было выяснено, что в указанный период произошло замедление роста вокабуляра по сравнению с предыдущими столетиями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вв.). Некоторые ученые этот факт объясняют погрешностями при сборе цитатного материала для главного словаря английского языка: «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Shakespeare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was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over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read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the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eighteen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century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under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read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&lt;…&gt;» (‘По Шекспиру предоставили больше данных, по восемнадцатому веку – меньше’) [1, с. 64].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>Однако в целом в поздний новоанглийский период лексический состав английского языка пополняется быстрыми темпами. Этому способствуют: 1) научно-технический прогресс; 2) языковые контакты и экспансия английского языка, результатом которых стали сформированные национальные варианты английского языка; 3) введение многих новых латинских и неолатинских аффиксов [2, с. 266].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Цель данной статьи – показать, какой вклад в пополнение негативно-оценочного (далее НО) вокабуляра современного английского языка внесли лексические единицы, появление которых впервые отмечено 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Проведенное исследование свидетельствует, что резкого роста НО единиц, датируемых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в., не было. Наблюдается относительно устойчивая ситуация, оформившаяся в предыдущие столетия –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вв. Среди современных НО единиц, появление которых относят к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в., по-прежнему доминируют те, что появились в результате семантических изменений от ранее зафиксированных слов. Относительно всех НО единиц, появившихся в результате изменения в их семантике (100 %), к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относятся 12,4 %.</w:t>
      </w:r>
    </w:p>
    <w:p w:rsidR="0004728A" w:rsidRPr="00E843DA" w:rsidRDefault="0004728A" w:rsidP="0004728A">
      <w:pPr>
        <w:tabs>
          <w:tab w:val="left" w:pos="342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Зафиксированы НО номинации разных частей речи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разнообразными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объектами в качестве оценки, ср.: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heroics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‘герой’ (1613) / ‘разговор или поведение, слишком смелое для определенной ситуации’ (1700)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172)</w:t>
      </w:r>
      <w:r w:rsidRPr="00E843DA">
        <w:rPr>
          <w:rStyle w:val="a3"/>
          <w:rFonts w:ascii="Times New Roman" w:hAnsi="Times New Roman"/>
          <w:color w:val="auto"/>
          <w:sz w:val="28"/>
          <w:szCs w:val="28"/>
        </w:rPr>
        <w:footnoteReference w:id="1"/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orgy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мн. ч.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ритуалы (в Древней Греции и Риме)’ (1589) / ‘оргия; разгул’ (1703)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928);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princeling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‘юный принц’ (1618) / ‘правитель, управляющий маленькой, не имеющей влияния страной; князёк’ (1794)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493);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provincial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‘относящийся к церковной епархии’ (1377) / ‘провинциальный, ограниченный’ (40-е гг.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GB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716–717);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)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whitewash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‘белить’ (1591) / ‘скрыть недостатки’ (1762)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280), у существительного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whitewash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‘белила (для лица)’ (1689), значение ‘попытка спрятать неприятные факты, оправдание (кого-, чего-л.)’ фиксируется 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GB"/>
        </w:rPr>
        <w:t>XIX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(1865)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280) и т.д.</w:t>
      </w:r>
    </w:p>
    <w:p w:rsidR="0004728A" w:rsidRPr="00E843DA" w:rsidRDefault="0004728A" w:rsidP="0004728A">
      <w:pPr>
        <w:tabs>
          <w:tab w:val="left" w:pos="342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традиционно выделяются много номинаций, связанных с неодобрительным отношением к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человеку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большинство из которых частнооценочные предикаты, пр.: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clown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‘глупец, шут как сценический персонаж’ (1500–1520); ‘сельский житель’ (1563) / ‘тот, кто паясничает, клоун’ (1727)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364), у глагола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)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clown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известного с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в., значение ‘строить из себя клоуна’ отмечено во вт. пол.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GB"/>
        </w:rPr>
        <w:t>XIX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365);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leech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‘пиявка’ (900) / ‘вымогатель, приживальщик’ (1784)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791);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prig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‘пижон, щёголь’ (1676) / ‘педант, формалист; нравоучительный, тщеславный человек’ (1753)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468);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runt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‘старый, гниющий пень дерева’ (1501) / ‘коротышка, позже оскорбительное слово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a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term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of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abuse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)’ (1700)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280) и т.д. Также фиксируются общеоценочные экспрессивные женские номинации, возникшие в результате метафорического переноса, ср.: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dragon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‘огромная змея’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/ ‘мегера, стерва’ (сер.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1012);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hag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‘злой дух в женском образе’</w:t>
      </w:r>
      <w:r w:rsidRPr="00E843DA">
        <w:rPr>
          <w:rStyle w:val="a3"/>
          <w:rFonts w:ascii="Times New Roman" w:hAnsi="Times New Roman"/>
          <w:color w:val="auto"/>
          <w:sz w:val="28"/>
          <w:szCs w:val="28"/>
          <w:lang w:val="en-US"/>
        </w:rPr>
        <w:footnoteReference w:id="2"/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(1552) / ‘безобразная и старая женщина, карга’ (1711)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1011) и др.</w:t>
      </w:r>
    </w:p>
    <w:p w:rsidR="0004728A" w:rsidRPr="00E843DA" w:rsidRDefault="0004728A" w:rsidP="0004728A">
      <w:pPr>
        <w:tabs>
          <w:tab w:val="left" w:pos="342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также отмечены многочисленные НО предикаты, в качестве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объекта оценки которых выступало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речевое поведение человека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пр.: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high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sounding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‘звонкий, звучный’ (1560) / ‘высокопарный’ (1784)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230);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ponderous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‘тяжёлый; громоздкий; неповоротливый’ (1400) / ‘(о речи) слишком медленный и продуманный; нудный, скучный’ (1704)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93);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stock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‘то, что хранится в запасе (для продажи)’ (1625) / ‘(о фразе, оправдании и т.д.) избитый, шаблонный’ (1738)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737);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)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spout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‘бить струёй; хлестать’ (1330) / ‘разглагольствовать’ (50-е гг.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GB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331);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)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waffle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‘визжать’ (1698) / ‘болтать попусту’ (1701)</w:t>
      </w:r>
      <w:r w:rsidRPr="00E843DA">
        <w:rPr>
          <w:rStyle w:val="a3"/>
          <w:rFonts w:ascii="Times New Roman" w:hAnsi="Times New Roman"/>
          <w:color w:val="auto"/>
          <w:sz w:val="28"/>
          <w:szCs w:val="28"/>
        </w:rPr>
        <w:footnoteReference w:id="3"/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799);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)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jaw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‘хватать челюстями; жевать’ (1612) / ‘трепаться, разглагольствовать’ (1748)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202). Э. Партридж отмечает, что глагол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(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)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jaw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‘трепаться’ функционировал как низкий коллоквиализм со средины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и по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[3,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. 613]; 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данный ЛСВ маркируется как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сленг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202).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также отмечены многочисленные новые частнооценочные значения у прилагательных, пр.: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flabby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‘мягкий, дряблый (о мускулах, коже)’ (вт. пол.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/ ‘мягкотелый, слабохарактерный’ (вт. пол.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987);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mawkish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‘склонный к тошноте; без аппетита’ (1668) / ‘сентиментальный, слезливый’ (1702)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IX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495);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outlandish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‘иностранный, чужеземный’ (1000) / ‘странный; нелепый’ (1792)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1021);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self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centered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‘неподвижный (в качестве центра, вокруг которого остальные объекты движутся)’ (1676) / ‘эгоистичный, занятый самим собой’ (1764)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915);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slavish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‘рабский, холопский’ (1565) / ‘подражательный, неоригинальный’ (1753)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670);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seedy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‘наполненный семенами, косточками’ (1574) / ‘грязный, обветшалый, убогий’ (1729)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875).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Как и в раннем новоанглийском периоде, у многих слов, преимущественно латинского происхождения, отмечены новые негативно-оценочные ЛСВ, многие из которых в современном употреблении функционируют преимущественно в книжной речи, ср.: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risible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‘смешной’ (1557) / ‘нелепый, смехотворный’ (1727)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985);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sententious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lastRenderedPageBreak/>
        <w:t>‘наполненный значением, смыслом; (о людях) умный, мудрый’ (1440) / ‘нравоучительный, сентенциозный’ (1732)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993);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infantile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‘младенческий’ (1696) / ‘ребяческий, ведущий себя несоответственно своему возрасту’ (1772)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918);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profligate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‘распутный, развратный’ (1647) / ‘неэкономный, расточительный’ (1779)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581);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nostrum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‘лекарство, приготовленное человеком, его рекомендовавшим; шарлатанское лекарство’ (1602) / ‘приём, призванный решить проблему, который, очевидно, не увенчается успехом’ (1749)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536);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proselytize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‘обращать в свою веру’ (1679) / ‘привлекать на свою сторону, навязывать свои взгляды (религиозные, политические и т.д.)’ (1796)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664);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vulgarize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‘действовать грубо; становиться грубым’ (1605) / ‘опошлять; огрублять’ (1756)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XIX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785) и др.</w:t>
      </w:r>
    </w:p>
    <w:p w:rsidR="0004728A" w:rsidRPr="00E843DA" w:rsidRDefault="0004728A" w:rsidP="0004728A">
      <w:pPr>
        <w:tabs>
          <w:tab w:val="left" w:pos="3420"/>
        </w:tabs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В некоторых случаях интересно проследить семантическую историю лексемы, для того чтобы выяснить, что повлияло на ухудшение значения слова. Примером может стать прилагательное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fulsome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впервые засвидетельствованное в среднеанглийский период (1250) в положительно-оценочном значении ‘характеризующийся изобилием; избытком; богатый, обильный, полный’. Известно, что в конце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слово употреблялось в значении ‘чрезмерный, особенно в комплиментах’, ср.: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Bear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back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thy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fulsom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Greeting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thy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Master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(‘Передайте взаимное преогромнейшее почтение вашему Господину’) (1702). Функционирование слова в подобных контекстах привело к расширению его семантической структуры и появлению неодобрительного значения ‘льстивый’, которое было отмечено уже во второй половине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в., ср.: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This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fawning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and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fulsome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court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historian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‘Этот раболепный и льстивый придворный историк’ (1782)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255).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Некоторые ранее нелитературные единицы входили в литературное пространство, формируя в нем полисемантичные структуры, производные значения которых маркируются как негативно-оценочные. Примером может послужить лексема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sham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‘обман; ложь, мошенничество’, впервые отмеченная в </w:t>
      </w:r>
      <w:smartTag w:uri="urn:schemas-microsoft-com:office:smarttags" w:element="metricconverter">
        <w:smartTagPr>
          <w:attr w:name="ProductID" w:val="1677 г"/>
        </w:smartTagPr>
        <w:r w:rsidRPr="00E843DA">
          <w:rPr>
            <w:rFonts w:ascii="Times New Roman" w:hAnsi="Times New Roman" w:cs="Times New Roman"/>
            <w:color w:val="auto"/>
            <w:sz w:val="28"/>
            <w:szCs w:val="28"/>
          </w:rPr>
          <w:t>1677 г</w:t>
        </w:r>
      </w:smartTag>
      <w:r w:rsidRPr="00E843DA">
        <w:rPr>
          <w:rFonts w:ascii="Times New Roman" w:hAnsi="Times New Roman" w:cs="Times New Roman"/>
          <w:color w:val="auto"/>
          <w:sz w:val="28"/>
          <w:szCs w:val="28"/>
        </w:rPr>
        <w:t>. как сленговая единица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158–159). Прилагательное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sham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‘(о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нематериальных предметах) ненастоящий, поддельный’ фиксируется в </w:t>
      </w:r>
      <w:smartTag w:uri="urn:schemas-microsoft-com:office:smarttags" w:element="metricconverter">
        <w:smartTagPr>
          <w:attr w:name="ProductID" w:val="1681 г"/>
        </w:smartTagPr>
        <w:r w:rsidRPr="00E843DA">
          <w:rPr>
            <w:rFonts w:ascii="Times New Roman" w:hAnsi="Times New Roman" w:cs="Times New Roman"/>
            <w:color w:val="auto"/>
            <w:sz w:val="28"/>
            <w:szCs w:val="28"/>
          </w:rPr>
          <w:t>1681 г</w:t>
        </w:r>
      </w:smartTag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. и приблизительно в это время отмечены с ним такие сочетания, как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zealous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Sham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Sheriffs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(‘фанатичные псевдо шерифы’) (1683);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the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discovery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of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sham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Prince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of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Wales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(‘разоблачение фальшивого принца Уэльского’) (1690) и т.д.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159). По свидетельству Э. Партриджа, уже к </w:t>
      </w:r>
      <w:smartTag w:uri="urn:schemas-microsoft-com:office:smarttags" w:element="metricconverter">
        <w:smartTagPr>
          <w:attr w:name="ProductID" w:val="1700 г"/>
        </w:smartTagPr>
        <w:r w:rsidRPr="00E843DA">
          <w:rPr>
            <w:rFonts w:ascii="Times New Roman" w:hAnsi="Times New Roman" w:cs="Times New Roman"/>
            <w:color w:val="auto"/>
            <w:sz w:val="28"/>
            <w:szCs w:val="28"/>
          </w:rPr>
          <w:t>1700 г</w:t>
        </w:r>
      </w:smartTag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sham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входит в литературное пространство [3,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. 1042].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словообразовательных производных, появление которых датируется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в., составляет 11,6% от всех зарегистрированных НО слов, полученных в результате словообразовательных процессов (100%).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отмечены дериваты как с исконными, так и с заимствованными формантами, среди которых в количественном отношении выделяются суффиксальные НО производные с формантом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ish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,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пр.: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babyish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‘ребяческий, простой, глупый’ (1753)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852);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clannish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‘обособленный; замкнутый в своем кругу’ (вт. пол.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269).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Так же, как и в ранненовоанглийском периоде, фиксируются образования с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self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-,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пр.: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self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satisfied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‘самодовольный, самоуспокоенный’ (1734)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930);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self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>-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important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‘с большим самомнением; важничающий’ (1775)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XIV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923)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Фиксируются НО сложные слова, преимущественно образного и экспрессивного характера, пр.: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skinflint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(от фразы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skin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a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GB"/>
        </w:rPr>
        <w:t>flint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‘скряжничать’) скряга, скупердяй’ (1700)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613); </w:t>
      </w:r>
      <w:r w:rsidRPr="00E843DA">
        <w:rPr>
          <w:rStyle w:val="exa"/>
          <w:rFonts w:ascii="Times New Roman" w:hAnsi="Times New Roman"/>
          <w:i/>
          <w:color w:val="auto"/>
          <w:sz w:val="28"/>
          <w:szCs w:val="28"/>
          <w:lang w:val="en-GB"/>
        </w:rPr>
        <w:t>killjoy</w:t>
      </w:r>
      <w:r w:rsidRPr="00E843DA">
        <w:rPr>
          <w:rStyle w:val="exa"/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(от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to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kill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‘убивать’,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joy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‘радость’) </w:t>
      </w:r>
      <w:r w:rsidRPr="00E843DA">
        <w:rPr>
          <w:rStyle w:val="exa"/>
          <w:rFonts w:ascii="Times New Roman" w:hAnsi="Times New Roman"/>
          <w:color w:val="auto"/>
          <w:sz w:val="28"/>
          <w:szCs w:val="28"/>
        </w:rPr>
        <w:t>‘человек, отравляющий другим удовольствие; брюзга’ (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70-е гг.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с.430).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Отмечены ЭО единицы, полученные в результате сокращения лексем, как например, форма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hack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‘человек, нанятый на выполнение занудной и рутинной работы (особенно о заурядном писателе’) (1700) ←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hackney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‘лошадь среднего размера и обычной породы, обычно для найма’, а также ‘работник, нанятый на низкую, лакейскую работу’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, 998). </w:t>
      </w:r>
      <w:r w:rsidRPr="00E843DA">
        <w:rPr>
          <w:rFonts w:ascii="Times New Roman" w:hAnsi="Times New Roman" w:cs="Times New Roman"/>
          <w:color w:val="auto"/>
          <w:spacing w:val="4"/>
          <w:sz w:val="28"/>
          <w:szCs w:val="28"/>
        </w:rPr>
        <w:t>Э.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Партридж полагает, что дериват входил в литературный английский с момента своего появления, и не сопровождает слово стилистическими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пометами [3,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. 518].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Полученные результаты свидетельствуют, что в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 французский язык выступал основным источником, а также посредником заимствованных НО лексем из других языков, пр.: 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clique</w:t>
      </w:r>
      <w:r w:rsidRPr="00E843DA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‘небольшая группа со своими интересами; группировка’ (пер. пол.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в.) (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>, 333).</w:t>
      </w:r>
    </w:p>
    <w:p w:rsidR="0004728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НО лексика негативной направленности современного английского языка сформирована за счет разных источников, неравноценных по степени своего участия. Проведенное исследование показало, что те НО лексические единицы современного английского языка, происхождение которых датируется 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E843DA">
        <w:rPr>
          <w:rFonts w:ascii="Times New Roman" w:hAnsi="Times New Roman" w:cs="Times New Roman"/>
          <w:color w:val="auto"/>
          <w:sz w:val="28"/>
          <w:szCs w:val="28"/>
        </w:rPr>
        <w:t xml:space="preserve"> в., появлялись преимущественное в результате семантических изменений и словообразования.</w:t>
      </w:r>
    </w:p>
    <w:p w:rsidR="0004728A" w:rsidRPr="00E843DA" w:rsidRDefault="0004728A" w:rsidP="0004728A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4728A" w:rsidRPr="0004728A" w:rsidRDefault="0004728A" w:rsidP="0004728A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</w:pPr>
      <w:r w:rsidRPr="0034012A">
        <w:rPr>
          <w:rFonts w:ascii="Times New Roman" w:hAnsi="Times New Roman" w:cs="Times New Roman"/>
          <w:b/>
          <w:i/>
          <w:color w:val="auto"/>
          <w:sz w:val="28"/>
          <w:szCs w:val="28"/>
        </w:rPr>
        <w:t>Список</w:t>
      </w:r>
      <w:r w:rsidRPr="0034012A"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  <w:t xml:space="preserve"> </w:t>
      </w:r>
      <w:r w:rsidRPr="0034012A">
        <w:rPr>
          <w:rFonts w:ascii="Times New Roman" w:hAnsi="Times New Roman" w:cs="Times New Roman"/>
          <w:b/>
          <w:i/>
          <w:color w:val="auto"/>
          <w:sz w:val="28"/>
          <w:szCs w:val="28"/>
        </w:rPr>
        <w:t>принятых</w:t>
      </w:r>
      <w:r w:rsidRPr="0034012A"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  <w:t xml:space="preserve"> </w:t>
      </w:r>
      <w:r w:rsidRPr="0034012A">
        <w:rPr>
          <w:rFonts w:ascii="Times New Roman" w:hAnsi="Times New Roman" w:cs="Times New Roman"/>
          <w:b/>
          <w:i/>
          <w:color w:val="auto"/>
          <w:sz w:val="28"/>
          <w:szCs w:val="28"/>
        </w:rPr>
        <w:t>сокращений</w:t>
      </w:r>
    </w:p>
    <w:p w:rsidR="0004728A" w:rsidRPr="00E843DA" w:rsidRDefault="0004728A" w:rsidP="0004728A">
      <w:pPr>
        <w:spacing w:line="24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>OED – The Oxford English dictionary: in 20 vol. / prepared by J.A. Simpson, E.S.C. Weiner. – 2</w:t>
      </w:r>
      <w:r w:rsidRPr="00E843DA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en-US"/>
        </w:rPr>
        <w:t>nd</w:t>
      </w:r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ed. – </w:t>
      </w:r>
      <w:smartTag w:uri="urn:schemas-microsoft-com:office:smarttags" w:element="place">
        <w:smartTag w:uri="urn:schemas-microsoft-com:office:smarttags" w:element="City">
          <w:r w:rsidRPr="00E843DA">
            <w:rPr>
              <w:rFonts w:ascii="Times New Roman" w:hAnsi="Times New Roman" w:cs="Times New Roman"/>
              <w:color w:val="auto"/>
              <w:sz w:val="28"/>
              <w:szCs w:val="28"/>
              <w:lang w:val="en-US"/>
            </w:rPr>
            <w:t>Oxford</w:t>
          </w:r>
        </w:smartTag>
      </w:smartTag>
      <w:r w:rsidRPr="00E843D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: Clarendon Press, 1989. – 20 vol.</w:t>
      </w:r>
    </w:p>
    <w:p w:rsidR="0004728A" w:rsidRPr="00E843DA" w:rsidRDefault="0004728A" w:rsidP="0004728A">
      <w:pPr>
        <w:spacing w:line="24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:rsidR="0004728A" w:rsidRPr="00123221" w:rsidRDefault="0004728A" w:rsidP="0004728A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Библиографический список</w:t>
      </w:r>
    </w:p>
    <w:p w:rsidR="0004728A" w:rsidRPr="00E843DA" w:rsidRDefault="0004728A" w:rsidP="0004728A">
      <w:pPr>
        <w:pStyle w:val="ListParagraph"/>
        <w:numPr>
          <w:ilvl w:val="0"/>
          <w:numId w:val="1"/>
        </w:numPr>
        <w:spacing w:line="240" w:lineRule="atLeast"/>
        <w:ind w:left="0" w:firstLine="709"/>
        <w:rPr>
          <w:color w:val="auto"/>
          <w:lang w:val="en-US"/>
        </w:rPr>
      </w:pPr>
      <w:r w:rsidRPr="0034012A">
        <w:rPr>
          <w:b/>
          <w:color w:val="auto"/>
          <w:lang w:val="en-GB"/>
        </w:rPr>
        <w:t>Algeo, J.</w:t>
      </w:r>
      <w:r w:rsidRPr="00E843DA">
        <w:rPr>
          <w:color w:val="auto"/>
          <w:lang w:val="en-GB"/>
        </w:rPr>
        <w:t xml:space="preserve"> Vocabulary / J. Algeo // </w:t>
      </w:r>
      <w:r w:rsidRPr="00E843DA">
        <w:rPr>
          <w:color w:val="auto"/>
          <w:lang w:val="en-US"/>
        </w:rPr>
        <w:t xml:space="preserve">The Cambridge history of the English </w:t>
      </w:r>
      <w:r w:rsidRPr="00E843DA">
        <w:rPr>
          <w:color w:val="auto"/>
          <w:spacing w:val="-2"/>
          <w:lang w:val="en-US"/>
        </w:rPr>
        <w:t>language / by gen. ed. R</w:t>
      </w:r>
      <w:r w:rsidRPr="00E843DA">
        <w:rPr>
          <w:color w:val="auto"/>
          <w:spacing w:val="-2"/>
          <w:lang w:val="en-GB"/>
        </w:rPr>
        <w:t>.</w:t>
      </w:r>
      <w:r w:rsidRPr="00E843DA">
        <w:rPr>
          <w:color w:val="auto"/>
          <w:spacing w:val="-2"/>
          <w:lang w:val="en-US"/>
        </w:rPr>
        <w:t xml:space="preserve">M. Hogg. – </w:t>
      </w:r>
      <w:smartTag w:uri="urn:schemas-microsoft-com:office:smarttags" w:element="City">
        <w:r w:rsidRPr="00E843DA">
          <w:rPr>
            <w:color w:val="auto"/>
            <w:spacing w:val="-2"/>
            <w:lang w:val="en-US"/>
          </w:rPr>
          <w:t>Cambridge</w:t>
        </w:r>
      </w:smartTag>
      <w:r w:rsidRPr="00E843DA">
        <w:rPr>
          <w:color w:val="auto"/>
          <w:spacing w:val="-2"/>
          <w:lang w:val="en-US"/>
        </w:rPr>
        <w:t xml:space="preserve"> : </w:t>
      </w:r>
      <w:smartTag w:uri="urn:schemas-microsoft-com:office:smarttags" w:element="place">
        <w:smartTag w:uri="urn:schemas-microsoft-com:office:smarttags" w:element="City">
          <w:r w:rsidRPr="00E843DA">
            <w:rPr>
              <w:color w:val="auto"/>
              <w:spacing w:val="-2"/>
              <w:lang w:val="en-US"/>
            </w:rPr>
            <w:t>Cambridge</w:t>
          </w:r>
        </w:smartTag>
      </w:smartTag>
      <w:r w:rsidRPr="00E843DA">
        <w:rPr>
          <w:color w:val="auto"/>
          <w:spacing w:val="-2"/>
          <w:lang w:val="en-US"/>
        </w:rPr>
        <w:t xml:space="preserve"> university press, 1992.</w:t>
      </w:r>
      <w:r w:rsidRPr="00E843DA">
        <w:rPr>
          <w:color w:val="auto"/>
          <w:lang w:val="en-US"/>
        </w:rPr>
        <w:t xml:space="preserve"> – Vol. 4: 1776–1997 / ed. by S. Romaine. – 1998. – P. 57–91.</w:t>
      </w:r>
    </w:p>
    <w:p w:rsidR="0004728A" w:rsidRPr="00E843DA" w:rsidRDefault="0004728A" w:rsidP="0004728A">
      <w:pPr>
        <w:pStyle w:val="ListParagraph"/>
        <w:numPr>
          <w:ilvl w:val="0"/>
          <w:numId w:val="1"/>
        </w:numPr>
        <w:spacing w:line="240" w:lineRule="atLeast"/>
        <w:ind w:left="0" w:firstLine="709"/>
        <w:rPr>
          <w:color w:val="auto"/>
          <w:lang w:val="en-US"/>
        </w:rPr>
      </w:pPr>
      <w:r w:rsidRPr="0034012A">
        <w:rPr>
          <w:b/>
          <w:color w:val="auto"/>
          <w:lang w:val="en-US"/>
        </w:rPr>
        <w:t>Kastovsky, D.</w:t>
      </w:r>
      <w:r w:rsidRPr="00E843DA">
        <w:rPr>
          <w:color w:val="auto"/>
          <w:lang w:val="en-US"/>
        </w:rPr>
        <w:t xml:space="preserve"> Vocabulary / D. Kastovsky // A History of the English Language / R. Coates [and others] ; ed. by R. Hogg, D. Denison. – </w:t>
      </w:r>
      <w:smartTag w:uri="urn:schemas-microsoft-com:office:smarttags" w:element="State">
        <w:r w:rsidRPr="00E843DA">
          <w:rPr>
            <w:color w:val="auto"/>
            <w:lang w:val="en-US"/>
          </w:rPr>
          <w:t>New York</w:t>
        </w:r>
      </w:smartTag>
      <w:r w:rsidRPr="00E843DA">
        <w:rPr>
          <w:color w:val="auto"/>
          <w:lang w:val="en-GB"/>
        </w:rPr>
        <w:t xml:space="preserve"> </w:t>
      </w:r>
      <w:r w:rsidRPr="00E843DA">
        <w:rPr>
          <w:color w:val="auto"/>
          <w:lang w:val="en-US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E843DA">
            <w:rPr>
              <w:color w:val="auto"/>
              <w:lang w:val="en-US"/>
            </w:rPr>
            <w:t>Cambridge</w:t>
          </w:r>
        </w:smartTag>
        <w:r w:rsidRPr="00E843DA">
          <w:rPr>
            <w:color w:val="auto"/>
            <w:lang w:val="en-US"/>
          </w:rPr>
          <w:t xml:space="preserve"> </w:t>
        </w:r>
        <w:smartTag w:uri="urn:schemas-microsoft-com:office:smarttags" w:element="PlaceType">
          <w:r w:rsidRPr="00E843DA">
            <w:rPr>
              <w:color w:val="auto"/>
              <w:lang w:val="en-US"/>
            </w:rPr>
            <w:t>University</w:t>
          </w:r>
        </w:smartTag>
      </w:smartTag>
      <w:r w:rsidRPr="00E843DA">
        <w:rPr>
          <w:color w:val="auto"/>
          <w:lang w:val="en-US"/>
        </w:rPr>
        <w:t xml:space="preserve"> Press, 2006. – P. 199–270.</w:t>
      </w:r>
    </w:p>
    <w:p w:rsidR="0004728A" w:rsidRPr="00E843DA" w:rsidRDefault="0004728A" w:rsidP="0004728A">
      <w:pPr>
        <w:pStyle w:val="ListParagraph"/>
        <w:numPr>
          <w:ilvl w:val="0"/>
          <w:numId w:val="1"/>
        </w:numPr>
        <w:spacing w:line="240" w:lineRule="atLeast"/>
        <w:ind w:left="0" w:firstLine="709"/>
        <w:rPr>
          <w:color w:val="auto"/>
          <w:lang w:val="en-US"/>
        </w:rPr>
      </w:pPr>
      <w:r w:rsidRPr="0034012A">
        <w:rPr>
          <w:b/>
          <w:color w:val="auto"/>
          <w:lang w:val="en-US"/>
        </w:rPr>
        <w:t>Partridge, E.</w:t>
      </w:r>
      <w:r w:rsidRPr="00E843DA">
        <w:rPr>
          <w:color w:val="auto"/>
          <w:lang w:val="en-US"/>
        </w:rPr>
        <w:t xml:space="preserve"> A Dictionary of slang and unconventional English : colloquialisms and catch phrases, fossilised jokes and puns, general nicknames, </w:t>
      </w:r>
      <w:r w:rsidRPr="00E843DA">
        <w:rPr>
          <w:color w:val="auto"/>
          <w:spacing w:val="2"/>
          <w:lang w:val="en-US"/>
        </w:rPr>
        <w:t>vulgarisms and such Americanisms as have been naturalised / E. Partridge ; ed. by P.</w:t>
      </w:r>
      <w:r w:rsidRPr="00E843DA">
        <w:rPr>
          <w:color w:val="auto"/>
          <w:lang w:val="en-US"/>
        </w:rPr>
        <w:t xml:space="preserve"> Beale. – 8</w:t>
      </w:r>
      <w:r w:rsidRPr="00E843DA">
        <w:rPr>
          <w:color w:val="auto"/>
          <w:vertAlign w:val="superscript"/>
          <w:lang w:val="en-US"/>
        </w:rPr>
        <w:t>th</w:t>
      </w:r>
      <w:r w:rsidRPr="00E843DA">
        <w:rPr>
          <w:color w:val="auto"/>
          <w:lang w:val="en-US"/>
        </w:rPr>
        <w:t xml:space="preserve"> edition. – </w:t>
      </w:r>
      <w:smartTag w:uri="urn:schemas-microsoft-com:office:smarttags" w:element="place">
        <w:smartTag w:uri="urn:schemas-microsoft-com:office:smarttags" w:element="City">
          <w:r w:rsidRPr="00E843DA">
            <w:rPr>
              <w:color w:val="auto"/>
              <w:lang w:val="en-US"/>
            </w:rPr>
            <w:t>London</w:t>
          </w:r>
        </w:smartTag>
      </w:smartTag>
      <w:r w:rsidRPr="00E843DA">
        <w:rPr>
          <w:color w:val="auto"/>
          <w:lang w:val="en-US"/>
        </w:rPr>
        <w:t xml:space="preserve"> : Routledge and Kegan Paul, 1984. – 1400 p.</w:t>
      </w:r>
    </w:p>
    <w:p w:rsidR="003079B8" w:rsidRPr="0004728A" w:rsidRDefault="003079B8">
      <w:pPr>
        <w:rPr>
          <w:lang w:val="en-US"/>
        </w:rPr>
      </w:pPr>
    </w:p>
    <w:sectPr w:rsidR="003079B8" w:rsidRPr="0004728A" w:rsidSect="0030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E4C" w:rsidRDefault="006C4E4C" w:rsidP="0004728A">
      <w:r>
        <w:separator/>
      </w:r>
    </w:p>
  </w:endnote>
  <w:endnote w:type="continuationSeparator" w:id="0">
    <w:p w:rsidR="006C4E4C" w:rsidRDefault="006C4E4C" w:rsidP="0004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E4C" w:rsidRDefault="006C4E4C" w:rsidP="0004728A">
      <w:r>
        <w:separator/>
      </w:r>
    </w:p>
  </w:footnote>
  <w:footnote w:type="continuationSeparator" w:id="0">
    <w:p w:rsidR="006C4E4C" w:rsidRDefault="006C4E4C" w:rsidP="0004728A">
      <w:r>
        <w:continuationSeparator/>
      </w:r>
    </w:p>
  </w:footnote>
  <w:footnote w:id="1">
    <w:p w:rsidR="0004728A" w:rsidRDefault="0004728A" w:rsidP="0004728A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0C17A0">
        <w:rPr>
          <w:lang w:val="ru-RU"/>
        </w:rPr>
        <w:t>Установлен следующи</w:t>
      </w:r>
      <w:r>
        <w:rPr>
          <w:lang w:val="ru-RU"/>
        </w:rPr>
        <w:t>й порядок описания НО единиц: после Н</w:t>
      </w:r>
      <w:r w:rsidRPr="000C17A0">
        <w:rPr>
          <w:lang w:val="ru-RU"/>
        </w:rPr>
        <w:t>О слова, выделенного курсивом, указываются: 1) самое первое значение слова и дата самой ранней его фиксации и 2) (</w:t>
      </w:r>
      <w:r>
        <w:rPr>
          <w:lang w:val="ru-RU"/>
        </w:rPr>
        <w:t>через косую черту) современное Н</w:t>
      </w:r>
      <w:r w:rsidRPr="000C17A0">
        <w:rPr>
          <w:lang w:val="ru-RU"/>
        </w:rPr>
        <w:t>О значение указанного слова и дата самой ранней его фиксации со ссылкой на лексикографический или письменный источник.</w:t>
      </w:r>
    </w:p>
  </w:footnote>
  <w:footnote w:id="2">
    <w:p w:rsidR="0004728A" w:rsidRDefault="0004728A" w:rsidP="0004728A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 w:rsidRPr="009E4A61">
        <w:t xml:space="preserve">Форма </w:t>
      </w:r>
      <w:r w:rsidRPr="009E4A61">
        <w:rPr>
          <w:i/>
          <w:lang w:val="en-US"/>
        </w:rPr>
        <w:t>hegge</w:t>
      </w:r>
      <w:r w:rsidRPr="009E4A61">
        <w:t xml:space="preserve"> один раз была зарегистрирована в </w:t>
      </w:r>
      <w:r w:rsidRPr="009E4A61">
        <w:rPr>
          <w:lang w:val="en-US"/>
        </w:rPr>
        <w:t>XIII</w:t>
      </w:r>
      <w:r>
        <w:t xml:space="preserve"> в</w:t>
      </w:r>
      <w:r w:rsidRPr="00CB0E5B">
        <w:t>.</w:t>
      </w:r>
      <w:r w:rsidRPr="009E4A61">
        <w:t xml:space="preserve">, форма </w:t>
      </w:r>
      <w:r w:rsidRPr="009E4A61">
        <w:rPr>
          <w:i/>
          <w:lang w:val="en-US"/>
        </w:rPr>
        <w:t>hagge</w:t>
      </w:r>
      <w:r w:rsidRPr="009E4A61">
        <w:t xml:space="preserve"> – один раз в </w:t>
      </w:r>
      <w:r w:rsidRPr="009E4A61">
        <w:rPr>
          <w:lang w:val="en-US"/>
        </w:rPr>
        <w:t>XIV</w:t>
      </w:r>
      <w:r w:rsidRPr="00CB0E5B">
        <w:t xml:space="preserve"> </w:t>
      </w:r>
      <w:r>
        <w:t>в. Однако</w:t>
      </w:r>
      <w:r w:rsidRPr="009E4A61">
        <w:t xml:space="preserve"> </w:t>
      </w:r>
      <w:r>
        <w:t xml:space="preserve">слово не </w:t>
      </w:r>
      <w:r>
        <w:rPr>
          <w:lang w:val="ru-RU"/>
        </w:rPr>
        <w:t xml:space="preserve">было </w:t>
      </w:r>
      <w:r>
        <w:t>известно до сер</w:t>
      </w:r>
      <w:r>
        <w:rPr>
          <w:lang w:val="ru-RU"/>
        </w:rPr>
        <w:t>едины</w:t>
      </w:r>
      <w:r w:rsidRPr="009E4A61">
        <w:t xml:space="preserve"> </w:t>
      </w:r>
      <w:r w:rsidRPr="009E4A61">
        <w:rPr>
          <w:lang w:val="en-US"/>
        </w:rPr>
        <w:t>XVI</w:t>
      </w:r>
      <w:r w:rsidRPr="00046AD2">
        <w:t xml:space="preserve"> </w:t>
      </w:r>
      <w:r w:rsidRPr="009E4A61">
        <w:t>в</w:t>
      </w:r>
      <w:r w:rsidRPr="00046AD2">
        <w:t>. (</w:t>
      </w:r>
      <w:r w:rsidRPr="009E4A61">
        <w:rPr>
          <w:lang w:val="en-US"/>
        </w:rPr>
        <w:t>OED</w:t>
      </w:r>
      <w:r w:rsidRPr="00046AD2">
        <w:t xml:space="preserve"> </w:t>
      </w:r>
      <w:r w:rsidRPr="009E4A61">
        <w:rPr>
          <w:lang w:val="en-US"/>
        </w:rPr>
        <w:t>VI</w:t>
      </w:r>
      <w:r w:rsidRPr="00046AD2">
        <w:t>, 1011)</w:t>
      </w:r>
      <w:r>
        <w:rPr>
          <w:lang w:val="ru-RU"/>
        </w:rPr>
        <w:t>.</w:t>
      </w:r>
    </w:p>
  </w:footnote>
  <w:footnote w:id="3">
    <w:p w:rsidR="0004728A" w:rsidRDefault="0004728A" w:rsidP="0004728A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lang w:val="ru-RU"/>
        </w:rPr>
        <w:t xml:space="preserve">Первая цитата с данным ЛСВ отмечена в </w:t>
      </w:r>
      <w:smartTag w:uri="urn:schemas-microsoft-com:office:smarttags" w:element="metricconverter">
        <w:smartTagPr>
          <w:attr w:name="ProductID" w:val="1701 г"/>
        </w:smartTagPr>
        <w:r>
          <w:rPr>
            <w:lang w:val="ru-RU"/>
          </w:rPr>
          <w:t>1701 г</w:t>
        </w:r>
      </w:smartTag>
      <w:r>
        <w:rPr>
          <w:lang w:val="ru-RU"/>
        </w:rPr>
        <w:t xml:space="preserve">., следующая – два века спустя – в </w:t>
      </w:r>
      <w:smartTag w:uri="urn:schemas-microsoft-com:office:smarttags" w:element="metricconverter">
        <w:smartTagPr>
          <w:attr w:name="ProductID" w:val="1900 г"/>
        </w:smartTagPr>
        <w:r>
          <w:rPr>
            <w:lang w:val="ru-RU"/>
          </w:rPr>
          <w:t>1900 г</w:t>
        </w:r>
      </w:smartTag>
      <w:r>
        <w:rPr>
          <w:lang w:val="ru-RU"/>
        </w:rPr>
        <w:t xml:space="preserve">. </w:t>
      </w:r>
      <w:r w:rsidRPr="00DE68E2">
        <w:rPr>
          <w:lang w:val="ru-RU"/>
        </w:rPr>
        <w:t>(</w:t>
      </w:r>
      <w:r w:rsidRPr="009E4A61">
        <w:rPr>
          <w:lang w:val="en-US"/>
        </w:rPr>
        <w:t>OED</w:t>
      </w:r>
      <w:r w:rsidRPr="00DE68E2">
        <w:rPr>
          <w:lang w:val="ru-RU"/>
        </w:rPr>
        <w:t xml:space="preserve"> </w:t>
      </w:r>
      <w:r w:rsidRPr="009E4A61">
        <w:rPr>
          <w:lang w:val="en-US"/>
        </w:rPr>
        <w:t>XIX</w:t>
      </w:r>
      <w:r w:rsidRPr="00DE68E2">
        <w:rPr>
          <w:lang w:val="ru-RU"/>
        </w:rPr>
        <w:t>, 799)</w:t>
      </w:r>
      <w:r w:rsidRPr="009E5EF6">
        <w:rPr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35788"/>
    <w:multiLevelType w:val="hybridMultilevel"/>
    <w:tmpl w:val="18028860"/>
    <w:lvl w:ilvl="0" w:tplc="0EF65E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28A"/>
    <w:rsid w:val="00002A64"/>
    <w:rsid w:val="00002B94"/>
    <w:rsid w:val="000038C5"/>
    <w:rsid w:val="00005A62"/>
    <w:rsid w:val="000132A4"/>
    <w:rsid w:val="00016A2E"/>
    <w:rsid w:val="00020C12"/>
    <w:rsid w:val="00026C05"/>
    <w:rsid w:val="00033FCE"/>
    <w:rsid w:val="00034262"/>
    <w:rsid w:val="00035073"/>
    <w:rsid w:val="00042134"/>
    <w:rsid w:val="0004728A"/>
    <w:rsid w:val="00076EE2"/>
    <w:rsid w:val="00083E70"/>
    <w:rsid w:val="000850D5"/>
    <w:rsid w:val="0008775D"/>
    <w:rsid w:val="000900AF"/>
    <w:rsid w:val="000939D5"/>
    <w:rsid w:val="000A6820"/>
    <w:rsid w:val="000B7EE8"/>
    <w:rsid w:val="000C0F77"/>
    <w:rsid w:val="000C3DBD"/>
    <w:rsid w:val="000C4968"/>
    <w:rsid w:val="000C50BB"/>
    <w:rsid w:val="000C72E6"/>
    <w:rsid w:val="000D7AD7"/>
    <w:rsid w:val="000E3151"/>
    <w:rsid w:val="000E31FA"/>
    <w:rsid w:val="000E7F0E"/>
    <w:rsid w:val="000F0555"/>
    <w:rsid w:val="000F2464"/>
    <w:rsid w:val="000F55BD"/>
    <w:rsid w:val="000F62CA"/>
    <w:rsid w:val="00105457"/>
    <w:rsid w:val="00105C5C"/>
    <w:rsid w:val="0010754B"/>
    <w:rsid w:val="00116E4A"/>
    <w:rsid w:val="00121E9C"/>
    <w:rsid w:val="00137340"/>
    <w:rsid w:val="00146B0F"/>
    <w:rsid w:val="001475CF"/>
    <w:rsid w:val="00151C0A"/>
    <w:rsid w:val="00153CAA"/>
    <w:rsid w:val="00163D74"/>
    <w:rsid w:val="00167566"/>
    <w:rsid w:val="00171C59"/>
    <w:rsid w:val="00176EF8"/>
    <w:rsid w:val="0017788A"/>
    <w:rsid w:val="00184D9F"/>
    <w:rsid w:val="00184F19"/>
    <w:rsid w:val="00196777"/>
    <w:rsid w:val="001A43F3"/>
    <w:rsid w:val="001A4F02"/>
    <w:rsid w:val="001A5482"/>
    <w:rsid w:val="001A5628"/>
    <w:rsid w:val="001B23C1"/>
    <w:rsid w:val="001B7C3D"/>
    <w:rsid w:val="001C4514"/>
    <w:rsid w:val="001C6F8A"/>
    <w:rsid w:val="001C79E6"/>
    <w:rsid w:val="001D087A"/>
    <w:rsid w:val="001D1D7E"/>
    <w:rsid w:val="001D2D24"/>
    <w:rsid w:val="001D3FB3"/>
    <w:rsid w:val="001D70E0"/>
    <w:rsid w:val="001E34A3"/>
    <w:rsid w:val="001E3EF0"/>
    <w:rsid w:val="001F2E26"/>
    <w:rsid w:val="00200586"/>
    <w:rsid w:val="00200F1C"/>
    <w:rsid w:val="00214222"/>
    <w:rsid w:val="00216932"/>
    <w:rsid w:val="00221CEC"/>
    <w:rsid w:val="00224921"/>
    <w:rsid w:val="00225F7B"/>
    <w:rsid w:val="002358EF"/>
    <w:rsid w:val="00236883"/>
    <w:rsid w:val="002413A8"/>
    <w:rsid w:val="0024216C"/>
    <w:rsid w:val="00244B04"/>
    <w:rsid w:val="00245346"/>
    <w:rsid w:val="00254392"/>
    <w:rsid w:val="00262FCF"/>
    <w:rsid w:val="00264E25"/>
    <w:rsid w:val="002660DE"/>
    <w:rsid w:val="00270D4E"/>
    <w:rsid w:val="00275555"/>
    <w:rsid w:val="00282B91"/>
    <w:rsid w:val="0028329B"/>
    <w:rsid w:val="002850A4"/>
    <w:rsid w:val="002A45CB"/>
    <w:rsid w:val="002A4EC0"/>
    <w:rsid w:val="002A5320"/>
    <w:rsid w:val="002B368F"/>
    <w:rsid w:val="002B36C4"/>
    <w:rsid w:val="002B6B38"/>
    <w:rsid w:val="002C0574"/>
    <w:rsid w:val="002C1F00"/>
    <w:rsid w:val="002D567E"/>
    <w:rsid w:val="002E016C"/>
    <w:rsid w:val="002E11C9"/>
    <w:rsid w:val="002E13AD"/>
    <w:rsid w:val="002E73C3"/>
    <w:rsid w:val="002E7C2D"/>
    <w:rsid w:val="003007C3"/>
    <w:rsid w:val="00301D06"/>
    <w:rsid w:val="003079B8"/>
    <w:rsid w:val="003105FE"/>
    <w:rsid w:val="0031497B"/>
    <w:rsid w:val="00316FA9"/>
    <w:rsid w:val="00324342"/>
    <w:rsid w:val="003278E7"/>
    <w:rsid w:val="00337699"/>
    <w:rsid w:val="0033777D"/>
    <w:rsid w:val="00351BE6"/>
    <w:rsid w:val="00354C82"/>
    <w:rsid w:val="003647D9"/>
    <w:rsid w:val="00370D91"/>
    <w:rsid w:val="0037108B"/>
    <w:rsid w:val="003725CB"/>
    <w:rsid w:val="00375882"/>
    <w:rsid w:val="00380E60"/>
    <w:rsid w:val="00381B87"/>
    <w:rsid w:val="00385FCB"/>
    <w:rsid w:val="00391D8C"/>
    <w:rsid w:val="003928BD"/>
    <w:rsid w:val="00394903"/>
    <w:rsid w:val="003B4F61"/>
    <w:rsid w:val="003B76EA"/>
    <w:rsid w:val="003D1C22"/>
    <w:rsid w:val="003D4647"/>
    <w:rsid w:val="003E0DF5"/>
    <w:rsid w:val="003E33A0"/>
    <w:rsid w:val="003F0125"/>
    <w:rsid w:val="003F1D78"/>
    <w:rsid w:val="003F4E9D"/>
    <w:rsid w:val="003F60FF"/>
    <w:rsid w:val="00401FBB"/>
    <w:rsid w:val="00405F36"/>
    <w:rsid w:val="004113BF"/>
    <w:rsid w:val="004172A4"/>
    <w:rsid w:val="0042537C"/>
    <w:rsid w:val="004257BF"/>
    <w:rsid w:val="00430493"/>
    <w:rsid w:val="0043285C"/>
    <w:rsid w:val="00432AAA"/>
    <w:rsid w:val="004341FF"/>
    <w:rsid w:val="0044252F"/>
    <w:rsid w:val="00445412"/>
    <w:rsid w:val="00445AD5"/>
    <w:rsid w:val="00445C95"/>
    <w:rsid w:val="00453BB2"/>
    <w:rsid w:val="00462E26"/>
    <w:rsid w:val="00470067"/>
    <w:rsid w:val="00473F8E"/>
    <w:rsid w:val="004776DE"/>
    <w:rsid w:val="00482D50"/>
    <w:rsid w:val="00496DE8"/>
    <w:rsid w:val="004A0D2F"/>
    <w:rsid w:val="004A1D2C"/>
    <w:rsid w:val="004B761F"/>
    <w:rsid w:val="004D1160"/>
    <w:rsid w:val="004D1527"/>
    <w:rsid w:val="004D5918"/>
    <w:rsid w:val="004D72FA"/>
    <w:rsid w:val="004E14E7"/>
    <w:rsid w:val="004E1F14"/>
    <w:rsid w:val="004E3448"/>
    <w:rsid w:val="004E51B2"/>
    <w:rsid w:val="004F1362"/>
    <w:rsid w:val="004F1B7B"/>
    <w:rsid w:val="005119FB"/>
    <w:rsid w:val="00516D5C"/>
    <w:rsid w:val="00525C6B"/>
    <w:rsid w:val="00534CD6"/>
    <w:rsid w:val="0054666E"/>
    <w:rsid w:val="00551C14"/>
    <w:rsid w:val="00552A53"/>
    <w:rsid w:val="00562EBA"/>
    <w:rsid w:val="00565287"/>
    <w:rsid w:val="00565885"/>
    <w:rsid w:val="00577B9F"/>
    <w:rsid w:val="00580480"/>
    <w:rsid w:val="005806C6"/>
    <w:rsid w:val="00596F5D"/>
    <w:rsid w:val="005A5519"/>
    <w:rsid w:val="005A61A0"/>
    <w:rsid w:val="005B233A"/>
    <w:rsid w:val="005E0330"/>
    <w:rsid w:val="005E061F"/>
    <w:rsid w:val="005E6793"/>
    <w:rsid w:val="005E6BB1"/>
    <w:rsid w:val="005F00F9"/>
    <w:rsid w:val="005F15C8"/>
    <w:rsid w:val="005F2926"/>
    <w:rsid w:val="0061142D"/>
    <w:rsid w:val="006114A5"/>
    <w:rsid w:val="00651FC1"/>
    <w:rsid w:val="0065204B"/>
    <w:rsid w:val="00653767"/>
    <w:rsid w:val="00653E8A"/>
    <w:rsid w:val="0065488B"/>
    <w:rsid w:val="006550C7"/>
    <w:rsid w:val="0065622D"/>
    <w:rsid w:val="00661092"/>
    <w:rsid w:val="006649AF"/>
    <w:rsid w:val="006650CB"/>
    <w:rsid w:val="00665112"/>
    <w:rsid w:val="00673110"/>
    <w:rsid w:val="00693CDE"/>
    <w:rsid w:val="006A2212"/>
    <w:rsid w:val="006A70EF"/>
    <w:rsid w:val="006B3274"/>
    <w:rsid w:val="006B3E6B"/>
    <w:rsid w:val="006C17FD"/>
    <w:rsid w:val="006C345A"/>
    <w:rsid w:val="006C4E4C"/>
    <w:rsid w:val="006C6733"/>
    <w:rsid w:val="006C6849"/>
    <w:rsid w:val="006D1C29"/>
    <w:rsid w:val="006D5B62"/>
    <w:rsid w:val="006F3B21"/>
    <w:rsid w:val="006F63ED"/>
    <w:rsid w:val="006F6D13"/>
    <w:rsid w:val="00701C0F"/>
    <w:rsid w:val="00703243"/>
    <w:rsid w:val="007051A4"/>
    <w:rsid w:val="007064CE"/>
    <w:rsid w:val="007124FC"/>
    <w:rsid w:val="0071330B"/>
    <w:rsid w:val="0071576D"/>
    <w:rsid w:val="007229EA"/>
    <w:rsid w:val="0072424B"/>
    <w:rsid w:val="00736190"/>
    <w:rsid w:val="00737432"/>
    <w:rsid w:val="00741373"/>
    <w:rsid w:val="00742857"/>
    <w:rsid w:val="00743B1C"/>
    <w:rsid w:val="00750CCB"/>
    <w:rsid w:val="00756AEA"/>
    <w:rsid w:val="00757793"/>
    <w:rsid w:val="00757B83"/>
    <w:rsid w:val="00761793"/>
    <w:rsid w:val="00764420"/>
    <w:rsid w:val="007655B6"/>
    <w:rsid w:val="00765C31"/>
    <w:rsid w:val="0078271B"/>
    <w:rsid w:val="007A3B71"/>
    <w:rsid w:val="007A44F0"/>
    <w:rsid w:val="007A5C82"/>
    <w:rsid w:val="007B0AB5"/>
    <w:rsid w:val="007B4B16"/>
    <w:rsid w:val="007B4B8A"/>
    <w:rsid w:val="007C04A5"/>
    <w:rsid w:val="007C6D28"/>
    <w:rsid w:val="007D0608"/>
    <w:rsid w:val="007D1B7B"/>
    <w:rsid w:val="007D2C46"/>
    <w:rsid w:val="007D7F9A"/>
    <w:rsid w:val="007E0034"/>
    <w:rsid w:val="007E263D"/>
    <w:rsid w:val="007E49F7"/>
    <w:rsid w:val="007F00D5"/>
    <w:rsid w:val="007F192E"/>
    <w:rsid w:val="007F20C1"/>
    <w:rsid w:val="00800727"/>
    <w:rsid w:val="00801CA1"/>
    <w:rsid w:val="00811946"/>
    <w:rsid w:val="00822C9C"/>
    <w:rsid w:val="00822F1F"/>
    <w:rsid w:val="00831949"/>
    <w:rsid w:val="00852962"/>
    <w:rsid w:val="00856E25"/>
    <w:rsid w:val="0086364E"/>
    <w:rsid w:val="008641D8"/>
    <w:rsid w:val="0086616C"/>
    <w:rsid w:val="00875DCE"/>
    <w:rsid w:val="0088552D"/>
    <w:rsid w:val="00890615"/>
    <w:rsid w:val="0089423E"/>
    <w:rsid w:val="00895ADD"/>
    <w:rsid w:val="008A4F5B"/>
    <w:rsid w:val="008B54C8"/>
    <w:rsid w:val="008B72B8"/>
    <w:rsid w:val="008C2EF0"/>
    <w:rsid w:val="008C3401"/>
    <w:rsid w:val="008D53FA"/>
    <w:rsid w:val="008D6A6C"/>
    <w:rsid w:val="008D6B57"/>
    <w:rsid w:val="008E29FF"/>
    <w:rsid w:val="008E3BEA"/>
    <w:rsid w:val="008E5EDE"/>
    <w:rsid w:val="008F0EF4"/>
    <w:rsid w:val="008F1365"/>
    <w:rsid w:val="009027C6"/>
    <w:rsid w:val="009117FA"/>
    <w:rsid w:val="00912780"/>
    <w:rsid w:val="009158D1"/>
    <w:rsid w:val="00926A5B"/>
    <w:rsid w:val="009270E5"/>
    <w:rsid w:val="00927117"/>
    <w:rsid w:val="00931D9E"/>
    <w:rsid w:val="009322F3"/>
    <w:rsid w:val="00936225"/>
    <w:rsid w:val="00937FBB"/>
    <w:rsid w:val="009432D6"/>
    <w:rsid w:val="00945049"/>
    <w:rsid w:val="0094666A"/>
    <w:rsid w:val="0094667F"/>
    <w:rsid w:val="00946CDE"/>
    <w:rsid w:val="009523C0"/>
    <w:rsid w:val="0095385F"/>
    <w:rsid w:val="00955ACF"/>
    <w:rsid w:val="009633D8"/>
    <w:rsid w:val="009643ED"/>
    <w:rsid w:val="009654BB"/>
    <w:rsid w:val="00966562"/>
    <w:rsid w:val="0096658B"/>
    <w:rsid w:val="00967F7B"/>
    <w:rsid w:val="009725E8"/>
    <w:rsid w:val="0097434A"/>
    <w:rsid w:val="00980D1C"/>
    <w:rsid w:val="00980E44"/>
    <w:rsid w:val="00982F5D"/>
    <w:rsid w:val="00986FF9"/>
    <w:rsid w:val="009A0D54"/>
    <w:rsid w:val="009B065A"/>
    <w:rsid w:val="009B1597"/>
    <w:rsid w:val="009E3362"/>
    <w:rsid w:val="009F28F2"/>
    <w:rsid w:val="009F4125"/>
    <w:rsid w:val="009F6611"/>
    <w:rsid w:val="00A035C1"/>
    <w:rsid w:val="00A05BE7"/>
    <w:rsid w:val="00A05DEA"/>
    <w:rsid w:val="00A20450"/>
    <w:rsid w:val="00A22B7F"/>
    <w:rsid w:val="00A2672F"/>
    <w:rsid w:val="00A27B6C"/>
    <w:rsid w:val="00A32416"/>
    <w:rsid w:val="00A40468"/>
    <w:rsid w:val="00A408DE"/>
    <w:rsid w:val="00A40E5E"/>
    <w:rsid w:val="00A4304E"/>
    <w:rsid w:val="00A47C76"/>
    <w:rsid w:val="00A53E13"/>
    <w:rsid w:val="00A60D14"/>
    <w:rsid w:val="00A61026"/>
    <w:rsid w:val="00A6455B"/>
    <w:rsid w:val="00A67091"/>
    <w:rsid w:val="00A676F5"/>
    <w:rsid w:val="00A71694"/>
    <w:rsid w:val="00A72AB6"/>
    <w:rsid w:val="00A73740"/>
    <w:rsid w:val="00A7562E"/>
    <w:rsid w:val="00A84FDD"/>
    <w:rsid w:val="00A900BA"/>
    <w:rsid w:val="00A91AA3"/>
    <w:rsid w:val="00A91E56"/>
    <w:rsid w:val="00AA38B3"/>
    <w:rsid w:val="00AA503B"/>
    <w:rsid w:val="00AB007D"/>
    <w:rsid w:val="00AB0762"/>
    <w:rsid w:val="00AB0997"/>
    <w:rsid w:val="00AB1B5E"/>
    <w:rsid w:val="00AB3237"/>
    <w:rsid w:val="00AB6E27"/>
    <w:rsid w:val="00AC5381"/>
    <w:rsid w:val="00AC655E"/>
    <w:rsid w:val="00AE05CC"/>
    <w:rsid w:val="00AE5A46"/>
    <w:rsid w:val="00AE5E58"/>
    <w:rsid w:val="00AF3251"/>
    <w:rsid w:val="00AF54EB"/>
    <w:rsid w:val="00B0595E"/>
    <w:rsid w:val="00B06FF9"/>
    <w:rsid w:val="00B13E8C"/>
    <w:rsid w:val="00B1659B"/>
    <w:rsid w:val="00B17CA5"/>
    <w:rsid w:val="00B21ED5"/>
    <w:rsid w:val="00B24960"/>
    <w:rsid w:val="00B3261C"/>
    <w:rsid w:val="00B32BA7"/>
    <w:rsid w:val="00B506C9"/>
    <w:rsid w:val="00B508BD"/>
    <w:rsid w:val="00B55231"/>
    <w:rsid w:val="00B57560"/>
    <w:rsid w:val="00B62184"/>
    <w:rsid w:val="00B63B1A"/>
    <w:rsid w:val="00B65D5B"/>
    <w:rsid w:val="00B66712"/>
    <w:rsid w:val="00B702CE"/>
    <w:rsid w:val="00B76BE9"/>
    <w:rsid w:val="00B927D6"/>
    <w:rsid w:val="00B93464"/>
    <w:rsid w:val="00B93B75"/>
    <w:rsid w:val="00B94288"/>
    <w:rsid w:val="00BA41CD"/>
    <w:rsid w:val="00BA46A0"/>
    <w:rsid w:val="00BA5536"/>
    <w:rsid w:val="00BB0146"/>
    <w:rsid w:val="00BC3330"/>
    <w:rsid w:val="00BC48EE"/>
    <w:rsid w:val="00BC57EE"/>
    <w:rsid w:val="00BC7944"/>
    <w:rsid w:val="00BD6C2C"/>
    <w:rsid w:val="00BD7E40"/>
    <w:rsid w:val="00BE37CC"/>
    <w:rsid w:val="00BE49DE"/>
    <w:rsid w:val="00BE723C"/>
    <w:rsid w:val="00BE75A4"/>
    <w:rsid w:val="00BF1115"/>
    <w:rsid w:val="00BF2062"/>
    <w:rsid w:val="00BF613B"/>
    <w:rsid w:val="00BF6C5A"/>
    <w:rsid w:val="00C01612"/>
    <w:rsid w:val="00C02ED4"/>
    <w:rsid w:val="00C034F3"/>
    <w:rsid w:val="00C03A2E"/>
    <w:rsid w:val="00C0445D"/>
    <w:rsid w:val="00C119D9"/>
    <w:rsid w:val="00C176CB"/>
    <w:rsid w:val="00C17D74"/>
    <w:rsid w:val="00C200E6"/>
    <w:rsid w:val="00C20B84"/>
    <w:rsid w:val="00C2717F"/>
    <w:rsid w:val="00C27871"/>
    <w:rsid w:val="00C41424"/>
    <w:rsid w:val="00C4232F"/>
    <w:rsid w:val="00C43528"/>
    <w:rsid w:val="00C50A95"/>
    <w:rsid w:val="00C50C18"/>
    <w:rsid w:val="00C538CB"/>
    <w:rsid w:val="00C554A4"/>
    <w:rsid w:val="00C62278"/>
    <w:rsid w:val="00C67E4E"/>
    <w:rsid w:val="00C80145"/>
    <w:rsid w:val="00C94849"/>
    <w:rsid w:val="00C95E96"/>
    <w:rsid w:val="00C961A9"/>
    <w:rsid w:val="00CA0CF6"/>
    <w:rsid w:val="00CA6DB2"/>
    <w:rsid w:val="00CA70DF"/>
    <w:rsid w:val="00CC0C31"/>
    <w:rsid w:val="00CC6181"/>
    <w:rsid w:val="00CD16FE"/>
    <w:rsid w:val="00CD1E84"/>
    <w:rsid w:val="00CD4C91"/>
    <w:rsid w:val="00CE61C2"/>
    <w:rsid w:val="00D024C3"/>
    <w:rsid w:val="00D074FC"/>
    <w:rsid w:val="00D1068C"/>
    <w:rsid w:val="00D11C93"/>
    <w:rsid w:val="00D20E2A"/>
    <w:rsid w:val="00D24491"/>
    <w:rsid w:val="00D2690C"/>
    <w:rsid w:val="00D274A4"/>
    <w:rsid w:val="00D37B49"/>
    <w:rsid w:val="00D37C60"/>
    <w:rsid w:val="00D4037A"/>
    <w:rsid w:val="00D56812"/>
    <w:rsid w:val="00D65879"/>
    <w:rsid w:val="00D727C0"/>
    <w:rsid w:val="00D731D1"/>
    <w:rsid w:val="00D75F1C"/>
    <w:rsid w:val="00D77C7A"/>
    <w:rsid w:val="00D77DEC"/>
    <w:rsid w:val="00D808A4"/>
    <w:rsid w:val="00D87817"/>
    <w:rsid w:val="00D92BDF"/>
    <w:rsid w:val="00D9453B"/>
    <w:rsid w:val="00D94AC8"/>
    <w:rsid w:val="00D95B6D"/>
    <w:rsid w:val="00DA630A"/>
    <w:rsid w:val="00DB1263"/>
    <w:rsid w:val="00DC4551"/>
    <w:rsid w:val="00DC6F20"/>
    <w:rsid w:val="00DD7D3F"/>
    <w:rsid w:val="00DE1DBC"/>
    <w:rsid w:val="00DE221A"/>
    <w:rsid w:val="00DE2B6E"/>
    <w:rsid w:val="00DF1F2F"/>
    <w:rsid w:val="00DF2B15"/>
    <w:rsid w:val="00DF2C0F"/>
    <w:rsid w:val="00E10BF8"/>
    <w:rsid w:val="00E1176E"/>
    <w:rsid w:val="00E1411F"/>
    <w:rsid w:val="00E16B85"/>
    <w:rsid w:val="00E17E02"/>
    <w:rsid w:val="00E20770"/>
    <w:rsid w:val="00E21A15"/>
    <w:rsid w:val="00E265FC"/>
    <w:rsid w:val="00E27814"/>
    <w:rsid w:val="00E27C8C"/>
    <w:rsid w:val="00E3163D"/>
    <w:rsid w:val="00E32417"/>
    <w:rsid w:val="00E32D56"/>
    <w:rsid w:val="00E37F7C"/>
    <w:rsid w:val="00E4101F"/>
    <w:rsid w:val="00E41BE3"/>
    <w:rsid w:val="00E42812"/>
    <w:rsid w:val="00E441B9"/>
    <w:rsid w:val="00E62C9C"/>
    <w:rsid w:val="00E63C11"/>
    <w:rsid w:val="00E63E5C"/>
    <w:rsid w:val="00E64074"/>
    <w:rsid w:val="00E67A3B"/>
    <w:rsid w:val="00E70B44"/>
    <w:rsid w:val="00E72196"/>
    <w:rsid w:val="00E74CD4"/>
    <w:rsid w:val="00E83667"/>
    <w:rsid w:val="00E869C9"/>
    <w:rsid w:val="00E90D7D"/>
    <w:rsid w:val="00E92191"/>
    <w:rsid w:val="00E943D8"/>
    <w:rsid w:val="00EA167B"/>
    <w:rsid w:val="00EA5D35"/>
    <w:rsid w:val="00EA63DB"/>
    <w:rsid w:val="00EB06C0"/>
    <w:rsid w:val="00ED14BF"/>
    <w:rsid w:val="00ED5299"/>
    <w:rsid w:val="00ED7E13"/>
    <w:rsid w:val="00EE39D7"/>
    <w:rsid w:val="00EE6BD4"/>
    <w:rsid w:val="00EE7D2F"/>
    <w:rsid w:val="00EF4DF9"/>
    <w:rsid w:val="00EF5C7B"/>
    <w:rsid w:val="00EF751E"/>
    <w:rsid w:val="00F02B87"/>
    <w:rsid w:val="00F07AFB"/>
    <w:rsid w:val="00F129AC"/>
    <w:rsid w:val="00F14F74"/>
    <w:rsid w:val="00F177AC"/>
    <w:rsid w:val="00F25BEF"/>
    <w:rsid w:val="00F31383"/>
    <w:rsid w:val="00F334EF"/>
    <w:rsid w:val="00F41BCE"/>
    <w:rsid w:val="00F424B6"/>
    <w:rsid w:val="00F45005"/>
    <w:rsid w:val="00F47950"/>
    <w:rsid w:val="00F51A9E"/>
    <w:rsid w:val="00F56044"/>
    <w:rsid w:val="00F63010"/>
    <w:rsid w:val="00F657F6"/>
    <w:rsid w:val="00F67836"/>
    <w:rsid w:val="00F73D94"/>
    <w:rsid w:val="00F77507"/>
    <w:rsid w:val="00F82292"/>
    <w:rsid w:val="00F93EF2"/>
    <w:rsid w:val="00F9551A"/>
    <w:rsid w:val="00FA3694"/>
    <w:rsid w:val="00FB3F32"/>
    <w:rsid w:val="00FB6165"/>
    <w:rsid w:val="00FB6502"/>
    <w:rsid w:val="00FB71D3"/>
    <w:rsid w:val="00FC06B4"/>
    <w:rsid w:val="00FC3C74"/>
    <w:rsid w:val="00FC7389"/>
    <w:rsid w:val="00FC7ABB"/>
    <w:rsid w:val="00FD0215"/>
    <w:rsid w:val="00FD5D69"/>
    <w:rsid w:val="00FF09AD"/>
    <w:rsid w:val="00FF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8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4728A"/>
    <w:pPr>
      <w:widowControl/>
      <w:spacing w:line="360" w:lineRule="auto"/>
      <w:ind w:left="720"/>
      <w:jc w:val="both"/>
    </w:pPr>
    <w:rPr>
      <w:rFonts w:ascii="Times New Roman" w:hAnsi="Times New Roman" w:cs="Times New Roman"/>
      <w:color w:val="4F81BD"/>
      <w:sz w:val="28"/>
      <w:szCs w:val="28"/>
      <w:lang w:eastAsia="en-US"/>
    </w:rPr>
  </w:style>
  <w:style w:type="character" w:styleId="a3">
    <w:name w:val="footnote reference"/>
    <w:semiHidden/>
    <w:rsid w:val="0004728A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04728A"/>
    <w:pPr>
      <w:widowControl/>
    </w:pPr>
    <w:rPr>
      <w:rFonts w:ascii="Times New Roman" w:eastAsia="Calibri" w:hAnsi="Times New Roman" w:cs="Times New Roman"/>
      <w:color w:val="auto"/>
      <w:sz w:val="20"/>
      <w:szCs w:val="20"/>
      <w:lang w:val="be-BY" w:eastAsia="be-BY"/>
    </w:rPr>
  </w:style>
  <w:style w:type="character" w:customStyle="1" w:styleId="a5">
    <w:name w:val="Текст сноски Знак"/>
    <w:basedOn w:val="a0"/>
    <w:link w:val="a4"/>
    <w:semiHidden/>
    <w:rsid w:val="0004728A"/>
    <w:rPr>
      <w:rFonts w:ascii="Times New Roman" w:eastAsia="Calibri" w:hAnsi="Times New Roman" w:cs="Times New Roman"/>
      <w:sz w:val="20"/>
      <w:szCs w:val="20"/>
      <w:lang w:val="be-BY" w:eastAsia="be-BY"/>
    </w:rPr>
  </w:style>
  <w:style w:type="character" w:customStyle="1" w:styleId="exa">
    <w:name w:val="exa"/>
    <w:rsid w:val="000472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1676</Words>
  <Characters>9557</Characters>
  <Application>Microsoft Office Word</Application>
  <DocSecurity>0</DocSecurity>
  <Lines>79</Lines>
  <Paragraphs>22</Paragraphs>
  <ScaleCrop>false</ScaleCrop>
  <Company>Microsoft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2012-11-02T10:35:00Z</dcterms:created>
  <dcterms:modified xsi:type="dcterms:W3CDTF">2012-11-02T10:36:00Z</dcterms:modified>
</cp:coreProperties>
</file>