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09" w:rsidRPr="00DD44F5" w:rsidRDefault="00636A09" w:rsidP="00636A09">
      <w:pPr>
        <w:spacing w:line="240" w:lineRule="atLeast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44F5">
        <w:rPr>
          <w:rFonts w:ascii="Times New Roman" w:hAnsi="Times New Roman"/>
          <w:b/>
          <w:caps/>
          <w:sz w:val="28"/>
          <w:szCs w:val="28"/>
        </w:rPr>
        <w:t xml:space="preserve">Меняющиеся парадигмы текстуальности </w:t>
      </w:r>
    </w:p>
    <w:p w:rsidR="00636A09" w:rsidRDefault="00636A09" w:rsidP="00636A09">
      <w:pPr>
        <w:spacing w:line="240" w:lineRule="atLeast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44F5">
        <w:rPr>
          <w:rFonts w:ascii="Times New Roman" w:hAnsi="Times New Roman"/>
          <w:b/>
          <w:caps/>
          <w:sz w:val="28"/>
          <w:szCs w:val="28"/>
        </w:rPr>
        <w:t>в отечественном и зарубежном языкознании</w:t>
      </w:r>
    </w:p>
    <w:p w:rsidR="00636A09" w:rsidRPr="00DD44F5" w:rsidRDefault="00636A09" w:rsidP="00636A09">
      <w:pPr>
        <w:spacing w:line="240" w:lineRule="atLeast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A09" w:rsidRPr="00DD44F5" w:rsidRDefault="00636A09" w:rsidP="00636A09">
      <w:pPr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DD44F5">
        <w:rPr>
          <w:rFonts w:ascii="Times New Roman" w:hAnsi="Times New Roman"/>
          <w:i/>
          <w:sz w:val="28"/>
          <w:szCs w:val="28"/>
        </w:rPr>
        <w:t>Путрова М.Д.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7F9">
        <w:rPr>
          <w:rFonts w:ascii="Times New Roman" w:hAnsi="Times New Roman"/>
          <w:sz w:val="28"/>
          <w:szCs w:val="28"/>
        </w:rPr>
        <w:t>До относительно недавнего времени</w:t>
      </w:r>
      <w:r>
        <w:rPr>
          <w:rFonts w:ascii="Times New Roman" w:hAnsi="Times New Roman"/>
          <w:sz w:val="28"/>
          <w:szCs w:val="28"/>
        </w:rPr>
        <w:t xml:space="preserve"> в практике интерпретации текстов доминировала классическая парадигма текстуальности. В соответствии с данной традицией текстами считались те отрезки употребления языка, которые были призваны выразить мысли и идеи продуцирующих их субъектов и соотносились при этом с состоянием дел в экстралингвистическом мире. Фактически текст рассматривался как лингвистически опосредованный или реализованный языковыми средствами результат действий определенной личности или личностей в конкретном ситуативном контексте </w:t>
      </w:r>
      <w:r w:rsidRPr="004730AA">
        <w:rPr>
          <w:rFonts w:ascii="Times New Roman" w:hAnsi="Times New Roman"/>
          <w:sz w:val="28"/>
          <w:szCs w:val="28"/>
        </w:rPr>
        <w:t>[1, с. 32-33], [2, с. 607-613].</w:t>
      </w:r>
      <w:r>
        <w:rPr>
          <w:rFonts w:ascii="Times New Roman" w:hAnsi="Times New Roman"/>
          <w:sz w:val="28"/>
          <w:szCs w:val="28"/>
        </w:rPr>
        <w:t xml:space="preserve"> Последним (ситуациям и личности) уделялось самое непосредственное внимание. Данный подход берет начало в глубокой древности и, фактически, не менялся на протяжении многих веков, даже в самые критические периоды возникновения новых теорий </w:t>
      </w:r>
      <w:r w:rsidRPr="004730AA">
        <w:rPr>
          <w:rFonts w:ascii="Times New Roman" w:hAnsi="Times New Roman"/>
          <w:sz w:val="28"/>
          <w:szCs w:val="28"/>
        </w:rPr>
        <w:t>[3].</w:t>
      </w:r>
      <w:r>
        <w:rPr>
          <w:rFonts w:ascii="Times New Roman" w:hAnsi="Times New Roman"/>
          <w:sz w:val="28"/>
          <w:szCs w:val="28"/>
        </w:rPr>
        <w:t xml:space="preserve"> Хотя небольшие изменения в приоритетах наблюдались. В частности, произошли некоторые смещения акцентов, в соответствии с которыми стали обращать внимание на жизненный мир реципиента текста. Кроме того, произошел сдвиг от понятия </w:t>
      </w:r>
      <w:r w:rsidRPr="00376631">
        <w:rPr>
          <w:rFonts w:ascii="Times New Roman" w:hAnsi="Times New Roman"/>
          <w:i/>
          <w:sz w:val="28"/>
          <w:szCs w:val="28"/>
        </w:rPr>
        <w:t>мысли автора</w:t>
      </w:r>
      <w:r>
        <w:rPr>
          <w:rFonts w:ascii="Times New Roman" w:hAnsi="Times New Roman"/>
          <w:sz w:val="28"/>
          <w:szCs w:val="28"/>
        </w:rPr>
        <w:t xml:space="preserve"> к разделенной жизни автора или создателя текста. Однако главным по-прежнему оставался продуцент, автор, в основном пишущий, а не говорящий, и ситуация, из которой он нес текст миру </w:t>
      </w:r>
      <w:r w:rsidRPr="004730AA">
        <w:rPr>
          <w:rFonts w:ascii="Times New Roman" w:hAnsi="Times New Roman"/>
          <w:sz w:val="28"/>
          <w:szCs w:val="28"/>
        </w:rPr>
        <w:t>[4].</w:t>
      </w:r>
      <w:r>
        <w:rPr>
          <w:rFonts w:ascii="Times New Roman" w:hAnsi="Times New Roman"/>
          <w:sz w:val="28"/>
          <w:szCs w:val="28"/>
        </w:rPr>
        <w:t xml:space="preserve"> Они, пишущий и ситуация, рассматривались как часть текста.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последних десятилетий данный подход во всех его вариантах оказался перед необходимостью осмысления толкований текста, принятых в некоторых смежных дисциплинах. Разрушение прежних представлений и необходимость переоценить или еще раз продумать </w:t>
      </w:r>
      <w:r>
        <w:rPr>
          <w:rFonts w:ascii="Times New Roman" w:hAnsi="Times New Roman"/>
          <w:sz w:val="28"/>
          <w:szCs w:val="28"/>
        </w:rPr>
        <w:lastRenderedPageBreak/>
        <w:t>формулировки и важнейшие постулаты возникли по мере проникновения в теорию интерпретации текста целого ряда новаций: работ по теории литературы, достижений в области лингвистики и особенно отпочковавшейся от нее смежной дисциплины – семиотики, а также теорий деконструктивизма, а также развитию определенных традиций в философии, особенно в той ее части, которая многим обязана социологии знания.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зарубежной лингвистике в настоящее время значительное количество теоретиков в области текста и текстуальности для проверки некоторых ключевых позиций своих концепций обращается к трудам П. Рикэра, который утверждает, что фиксация текста с помощью письма сделала последний автономным в отношении интенций автора. Сигнификации текста, его смысл не совпадают больше с тем, что имел в виду автор </w:t>
      </w:r>
      <w:r w:rsidRPr="004730AA">
        <w:rPr>
          <w:rFonts w:ascii="Times New Roman" w:hAnsi="Times New Roman"/>
          <w:sz w:val="28"/>
          <w:szCs w:val="28"/>
        </w:rPr>
        <w:t>[5, с. 139].</w:t>
      </w:r>
      <w:r>
        <w:rPr>
          <w:rFonts w:ascii="Times New Roman" w:hAnsi="Times New Roman"/>
          <w:sz w:val="28"/>
          <w:szCs w:val="28"/>
        </w:rPr>
        <w:t xml:space="preserve"> Текст представляет собой определенный труд или структурированную целостность, совокупность, не сводимую к предложениям, из которых он состоит. Он (текст), конечно же, остается продуктом автора, но в своем эссе, озаглавленном «Текст. Что это такое?», Рикэр настоятельно разъясняет, что реципиент, интерпретатор не присутствует во время действий по написанию текста. В свою очередь, тот, кто пишет текст, отсутствует во время акта его восприятия. Текст, таким образом, предполагает двойное затемнение, двойное устранение: сначала реципиента, потом автора. Таким образом, происходит замена отношений, существующих в реальном общении, в настоящем коммуникативном поведении, когда голос одного непосредственно передается в слуховой канал другого </w:t>
      </w:r>
      <w:r w:rsidRPr="004730AA">
        <w:rPr>
          <w:rFonts w:ascii="Times New Roman" w:hAnsi="Times New Roman"/>
          <w:sz w:val="28"/>
          <w:szCs w:val="28"/>
        </w:rPr>
        <w:t>[5, с. 148].</w:t>
      </w:r>
      <w:r>
        <w:rPr>
          <w:rFonts w:ascii="Times New Roman" w:hAnsi="Times New Roman"/>
          <w:sz w:val="28"/>
          <w:szCs w:val="28"/>
        </w:rPr>
        <w:t xml:space="preserve"> Текст становится «эмансипированным», то есть свободным от устной ситуации общения, от окружения и событийной среды дискурса </w:t>
      </w:r>
      <w:r w:rsidRPr="004730AA">
        <w:rPr>
          <w:rFonts w:ascii="Times New Roman" w:hAnsi="Times New Roman"/>
          <w:sz w:val="28"/>
          <w:szCs w:val="28"/>
        </w:rPr>
        <w:t>[5, с. 148].</w:t>
      </w:r>
      <w:r>
        <w:rPr>
          <w:rFonts w:ascii="Times New Roman" w:hAnsi="Times New Roman"/>
          <w:sz w:val="28"/>
          <w:szCs w:val="28"/>
        </w:rPr>
        <w:t xml:space="preserve"> Подготавливается то, что Рикэр называет </w:t>
      </w:r>
      <w:r>
        <w:rPr>
          <w:rFonts w:ascii="Times New Roman" w:hAnsi="Times New Roman"/>
          <w:sz w:val="28"/>
          <w:szCs w:val="28"/>
        </w:rPr>
        <w:lastRenderedPageBreak/>
        <w:t xml:space="preserve">феноменом дистанцирования, который ведет к затемнению «обстоятельственного мира» в «квазимире» текста </w:t>
      </w:r>
      <w:r w:rsidRPr="004730AA">
        <w:rPr>
          <w:rFonts w:ascii="Times New Roman" w:hAnsi="Times New Roman"/>
          <w:sz w:val="28"/>
          <w:szCs w:val="28"/>
        </w:rPr>
        <w:t>[5, с. 131-144].</w:t>
      </w:r>
    </w:p>
    <w:p w:rsidR="00636A09" w:rsidRPr="00207587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07587">
        <w:rPr>
          <w:rFonts w:ascii="Times New Roman" w:hAnsi="Times New Roman"/>
          <w:spacing w:val="-4"/>
          <w:sz w:val="28"/>
          <w:szCs w:val="28"/>
        </w:rPr>
        <w:t xml:space="preserve">Ж. Деррида и Р. Барт развивают данный подход, радикализируя само понятие текстуальности. В частности, Деррида пишет, что трактовка понятия </w:t>
      </w:r>
      <w:r w:rsidRPr="00207587">
        <w:rPr>
          <w:rFonts w:ascii="Times New Roman" w:hAnsi="Times New Roman"/>
          <w:i/>
          <w:spacing w:val="-4"/>
          <w:sz w:val="28"/>
          <w:szCs w:val="28"/>
        </w:rPr>
        <w:t>текст</w:t>
      </w:r>
      <w:r w:rsidRPr="00207587">
        <w:rPr>
          <w:rFonts w:ascii="Times New Roman" w:hAnsi="Times New Roman"/>
          <w:spacing w:val="-4"/>
          <w:sz w:val="28"/>
          <w:szCs w:val="28"/>
        </w:rPr>
        <w:t xml:space="preserve"> в последние десятилетия изменилась. Текст перестал быть какой-то совокупностью письменных знаков или неким содержанием, заключенным в рамках определенной статьи или книги. Текст представляет собой некую дифференциальную сеть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207587">
        <w:rPr>
          <w:rFonts w:ascii="Times New Roman" w:hAnsi="Times New Roman"/>
          <w:spacing w:val="-4"/>
          <w:sz w:val="28"/>
          <w:szCs w:val="28"/>
        </w:rPr>
        <w:t xml:space="preserve"> или матрицу, или ткань с узорами, находящуюся в состоянии постоянного соотношения с чем-то еще, с другими матрицами, тканями или дифференциальными сетями, бесконечно отсылающими к чему-то отличному от себя, к другим дифференциальным следам – знакам – признакам [6, с. 83]. Р. Барт соглашается с предложенной метафорической интерпретацией текста как некой сети, которая больше не сопровождается какой бы то ни было подписью автора. Текст плюралистичен, ему присуще множество смыслов. Даже библейские тексты, считает он, позволяют д</w:t>
      </w:r>
      <w:r w:rsidRPr="00FA6407">
        <w:rPr>
          <w:rFonts w:ascii="Times New Roman" w:hAnsi="Times New Roman"/>
          <w:spacing w:val="-4"/>
          <w:sz w:val="28"/>
          <w:szCs w:val="28"/>
        </w:rPr>
        <w:t>и</w:t>
      </w:r>
      <w:r w:rsidRPr="00207587">
        <w:rPr>
          <w:rFonts w:ascii="Times New Roman" w:hAnsi="Times New Roman"/>
          <w:spacing w:val="-4"/>
          <w:sz w:val="28"/>
          <w:szCs w:val="28"/>
        </w:rPr>
        <w:t>фракцию их смысла [7, с. 11].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 Рикэр, как известно, разделяет мир текста на следующие три сферы: пространство до текста, текст и мир текста за ним, то есть пространство «после текста» </w:t>
      </w:r>
      <w:r w:rsidRPr="004730AA">
        <w:rPr>
          <w:rFonts w:ascii="Times New Roman" w:hAnsi="Times New Roman"/>
          <w:sz w:val="28"/>
          <w:szCs w:val="28"/>
        </w:rPr>
        <w:t>[5, с. 142-144].</w:t>
      </w:r>
      <w:r>
        <w:rPr>
          <w:rFonts w:ascii="Times New Roman" w:hAnsi="Times New Roman"/>
          <w:sz w:val="28"/>
          <w:szCs w:val="28"/>
        </w:rPr>
        <w:t xml:space="preserve"> Если мы поместим себя перед текстом, то почувствуем его трансформирующее воздействие. Текст проецирует на коммуниканта свой мир, в который мы можем войти и который может изменить нас или наши представления о самых разнообразных понятиях. Тексты, фиксирующие подлинное коммуникативное поведение, в частности, проецируют огромный мир, который можно представить одновременно и как мир определенных временных последовательностей, фиксирующих каждая в отдельности и все вместе, в своей совокупности, как происходили коммуникативные действия, и как некий мир социальных отношений и социальных систем. </w:t>
      </w:r>
      <w:r>
        <w:rPr>
          <w:rFonts w:ascii="Times New Roman" w:hAnsi="Times New Roman"/>
          <w:sz w:val="28"/>
          <w:szCs w:val="28"/>
        </w:rPr>
        <w:lastRenderedPageBreak/>
        <w:t>Эти социальные конструкты отражают то, как члены определенного социума, коммуниканты осуществляют в поведении категоризацию своего опыта, придавая ему определенную форму. То же, что случилось до текста, может отражать не менее важные интересы исследователя. В настоящее время, однако, когда столько внимания уделяется речевым действиям, интерес исследователя чаще всего сосредоточивается вокруг того, что текст приводит в действие, в определенное движение. Принято говорить даже о «прорыве» в анализе текстового материала. Данный прорыв интерпретируется как изменение в парадигме анализа, когда исследователь в известной мере уходит от событий и персоналий до текста, чтобы полностью заняться имеющимся в его распоряжении в данный момент текстом и теми действиями, которые он (текст) производит во внешнем мире, влияя на современного читателя, зрителя и слушателя.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восприятии природы текста, происшедшие в рамках данного направления, пришли с пониманием того, что текст не только субструктура знаков или сигналов, передаваемых в определенном коде, пусть и открытая, но что это также определенный процесс, некое производство. Текст актуализируется в ходе коммуникативного акта или события. В соответствии с данным подходом законченный продукт действия трансформируется в процесс, который получает новое название </w:t>
      </w:r>
      <w:r w:rsidRPr="00BE60AA">
        <w:rPr>
          <w:rFonts w:ascii="Times New Roman" w:hAnsi="Times New Roman"/>
          <w:i/>
          <w:sz w:val="28"/>
          <w:szCs w:val="28"/>
        </w:rPr>
        <w:t>дискурс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Описанные интерпретации представляют собой текст в наиболее общем виде. Вместе с тем они помогают открыть новые горизонты в исследовании такого важного понятия, каковым является текст. 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Анализируя, какие нюансы внесло привлечение личности автора и адресата в мир текста, нельзя не обратить внимание на так называемый гендерный подход. Последний поставил на повестку дня пересмотр казалось бы давно устоявшихся понятий, например, таких как сущность </w:t>
      </w:r>
      <w:r>
        <w:rPr>
          <w:rFonts w:ascii="Times New Roman" w:hAnsi="Times New Roman"/>
          <w:sz w:val="28"/>
          <w:szCs w:val="28"/>
        </w:rPr>
        <w:lastRenderedPageBreak/>
        <w:t>нормы, проблемы количественных и качественных характеристик текста, вопрос об идентичности, то есть о том, как существующие во всем реальном разнообразии гендерные варианты участвующей в коммуникативном процессе личности отражаются сначала в производстве, а затем и означивании текста. Гендерный подход исходит из базовой роли многогранного и неизбежно гендерно дистинктивного предшествующего каждому конкретному акту общения опыта коммуниканта как в понимании, так и в продуцировании текста. Он категорически отрицает правомерность рассмотрения опыта и специфики знания только в исключительно понятийном, то есть логическом ключе, мощно выступает против генерализаций и оппозиций как единственно возможных приемов исследования. Текст понимается как сложный языковой знак, в процессе сначала создания, а затем и означивания которого гендерный фактор играет существенную, всепроникающую роль.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хотя в рамках гендерного подхода поставлено значительно больше вопросов, чем получено на них убедительных ответов, все же есть некоторые заслуживающие внимания попытки интерпретации целого ряда проблем, в том числе и проблемы текста. Таковой, на наш взгляд, является трактовка понятия </w:t>
      </w:r>
      <w:r w:rsidRPr="00054503">
        <w:rPr>
          <w:rFonts w:ascii="Times New Roman" w:hAnsi="Times New Roman"/>
          <w:i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, представленная в работах Ю. Кристевой, в частности, в ее трудах «Семиотика» </w:t>
      </w:r>
      <w:r w:rsidRPr="00926420">
        <w:rPr>
          <w:rFonts w:ascii="Times New Roman" w:hAnsi="Times New Roman"/>
          <w:sz w:val="28"/>
          <w:szCs w:val="28"/>
        </w:rPr>
        <w:t>[8],</w:t>
      </w:r>
      <w:r>
        <w:rPr>
          <w:rFonts w:ascii="Times New Roman" w:hAnsi="Times New Roman"/>
          <w:sz w:val="28"/>
          <w:szCs w:val="28"/>
        </w:rPr>
        <w:t xml:space="preserve"> «Революция поэтического языка» </w:t>
      </w:r>
      <w:r w:rsidRPr="00926420">
        <w:rPr>
          <w:rFonts w:ascii="Times New Roman" w:hAnsi="Times New Roman"/>
          <w:sz w:val="28"/>
          <w:szCs w:val="28"/>
        </w:rPr>
        <w:t>[9]</w:t>
      </w:r>
      <w:r>
        <w:rPr>
          <w:rFonts w:ascii="Times New Roman" w:hAnsi="Times New Roman"/>
          <w:sz w:val="28"/>
          <w:szCs w:val="28"/>
        </w:rPr>
        <w:t xml:space="preserve"> и «Система и говорящий субъект</w:t>
      </w:r>
      <w:r w:rsidRPr="00926420">
        <w:rPr>
          <w:rFonts w:ascii="Times New Roman" w:hAnsi="Times New Roman"/>
          <w:sz w:val="28"/>
          <w:szCs w:val="28"/>
        </w:rPr>
        <w:t>» [8].</w:t>
      </w:r>
      <w:r>
        <w:rPr>
          <w:rFonts w:ascii="Times New Roman" w:hAnsi="Times New Roman"/>
          <w:sz w:val="28"/>
          <w:szCs w:val="28"/>
        </w:rPr>
        <w:t xml:space="preserve"> Сущность текста в ее интерпретации вытекает из ее видения языка и объясняется с помощью введенных ею терминов </w:t>
      </w:r>
      <w:r w:rsidRPr="00926420">
        <w:rPr>
          <w:rFonts w:ascii="Times New Roman" w:hAnsi="Times New Roman"/>
          <w:i/>
          <w:sz w:val="28"/>
          <w:szCs w:val="28"/>
        </w:rPr>
        <w:t>генотекст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26420">
        <w:rPr>
          <w:rFonts w:ascii="Times New Roman" w:hAnsi="Times New Roman"/>
          <w:i/>
          <w:sz w:val="28"/>
          <w:szCs w:val="28"/>
        </w:rPr>
        <w:t>фенотекст</w:t>
      </w:r>
      <w:r>
        <w:rPr>
          <w:rFonts w:ascii="Times New Roman" w:hAnsi="Times New Roman"/>
          <w:sz w:val="28"/>
          <w:szCs w:val="28"/>
        </w:rPr>
        <w:t xml:space="preserve">. В названных работах Ю. Кристева делает попытку заглянуть «по ту сторону языка», представить предвербальное или довербальное существование субъекта, то есть существование, в котором безраздельно господствует бессознательное. Выступая в русле общего постмодернистского направления, она стремится уйти от активизировавшихся после Ф. де Соссюра исследований </w:t>
      </w:r>
      <w:r>
        <w:rPr>
          <w:rFonts w:ascii="Times New Roman" w:hAnsi="Times New Roman"/>
          <w:sz w:val="28"/>
          <w:szCs w:val="28"/>
        </w:rPr>
        <w:lastRenderedPageBreak/>
        <w:t>структурного уровня языка к его внеструктурному состонию и переходит от значения к особенностям процесса означивания. Однако в этой ее солидарности с постструктурализмом наблюдается много существенных отличий, ее собственных моментов поиска истины. Последние, возможно, объясняются ее хорошим знанием работ Фрейда и Лакана. Не принимая полностью ряд их положений, Ю. Кристева, тем не менее, разделяет утверждение Лакана о примарной роли языка в психической жизни человека, а также его убежденность в том, что субъект в символическом существует только как сексуально маркированная сущность, то есть он всегда занимает определенную позицию на шкале сексуальности. Фокус ее исследований, однако, в другом. Внимание Кристевой занимают те отношения, которые не заинтересовали Фрейда и Лакана, а именно отношения матери и ребенка. При этом она утверждает значимость до-эдипового комплекса, который всегда в том или ином виде присутствует, хотя и в значительной мере заглушается, подавляется, трансформируется социумом. При этом, как и Лакан, она постулирует значимость флюидных, полиморфных, но, тем не менее, упорствующих, упрямствующих либидных устремлений.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Психоанализ Лакана, несомненно, является основополагающей концептуальной и методологической основой работ Ю. Кристевой, в которых она разрабатывает свою теорию текстуального означивания, свою семиологическую концепцию, так называемый семанализ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semanalyse</w:t>
      </w:r>
      <w:proofErr w:type="spellEnd"/>
      <w:r>
        <w:rPr>
          <w:rFonts w:ascii="Times New Roman" w:hAnsi="Times New Roman"/>
          <w:sz w:val="28"/>
          <w:szCs w:val="28"/>
        </w:rPr>
        <w:t xml:space="preserve">), являющийся альтернативой семиологии Ф. де Соссюра и одновременно формой «перевода» психоаналитических идей Фрейда и Лакана на язык лингвистики и семиотики. Данная теория, по мысли Кристевой, предлагает адекватную форму исследования тех радикальных означивающих практик, которые всегда были маргинальными. Ее семанализ делает акцент на понимании значения не как знаковой системы, а как означивающего </w:t>
      </w:r>
      <w:r>
        <w:rPr>
          <w:rFonts w:ascii="Times New Roman" w:hAnsi="Times New Roman"/>
          <w:sz w:val="28"/>
          <w:szCs w:val="28"/>
        </w:rPr>
        <w:lastRenderedPageBreak/>
        <w:t xml:space="preserve">процесса, но, в отличие от Лакана, Ю. Кристева всегда учитывает исторические и социокультурные аспекты процесса означивания (сигнификации) и связанной с ним субъективности. Кроме того, для Лакана воображаемое функционирует только в визуальном регистре. Для Ю. Кристевой, напротив, важны все органы чувств. Для нее воображаемое организуется не только потенциалом визуального, но также и голосом, осязанием, ощущениями запаха и вкуса. По мнению Кристевой, Лакан и многие другие исследователи слишком сильно концентрируются исключительно на вербальном языке в ущерб другим линиям или моделям, возможностям сигнификации </w:t>
      </w:r>
      <w:r w:rsidRPr="00926420">
        <w:rPr>
          <w:rFonts w:ascii="Times New Roman" w:hAnsi="Times New Roman"/>
          <w:sz w:val="28"/>
          <w:szCs w:val="28"/>
        </w:rPr>
        <w:t>[8, с. 101].</w:t>
      </w:r>
      <w:r>
        <w:rPr>
          <w:rFonts w:ascii="Times New Roman" w:hAnsi="Times New Roman"/>
          <w:sz w:val="28"/>
          <w:szCs w:val="28"/>
        </w:rPr>
        <w:t xml:space="preserve"> Более того, в отличие от Лакана, который постулирует дистинктивность, четкое различие между воображаемым и символическим, Ю. Кристева подчеркивает континуальность, неявность перехода одного в другое.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Она концентрирует внимание на до-эдиповых или предзеркальных стадиях отношений и процессов, обычно упускаемых исследователями из вида </w:t>
      </w:r>
      <w:r w:rsidRPr="00926420">
        <w:rPr>
          <w:rFonts w:ascii="Times New Roman" w:hAnsi="Times New Roman"/>
          <w:sz w:val="28"/>
          <w:szCs w:val="28"/>
        </w:rPr>
        <w:t>[8].</w:t>
      </w:r>
      <w:r>
        <w:rPr>
          <w:rFonts w:ascii="Times New Roman" w:hAnsi="Times New Roman"/>
          <w:sz w:val="28"/>
          <w:szCs w:val="28"/>
        </w:rPr>
        <w:t xml:space="preserve"> Кристева стремится уйти от Соссюровского понятия </w:t>
      </w:r>
      <w:r w:rsidRPr="00191FB5">
        <w:rPr>
          <w:rFonts w:ascii="Times New Roman" w:hAnsi="Times New Roman"/>
          <w:i/>
          <w:sz w:val="28"/>
          <w:szCs w:val="28"/>
        </w:rPr>
        <w:t>langue</w:t>
      </w:r>
      <w:r>
        <w:rPr>
          <w:rFonts w:ascii="Times New Roman" w:hAnsi="Times New Roman"/>
          <w:sz w:val="28"/>
          <w:szCs w:val="28"/>
        </w:rPr>
        <w:t xml:space="preserve">, восстановив говорящего субъекта как нечто децентрализованное, в котором могут сочетаться самые разные черты и характеристики. А язык видится ей не как монолитная система, а сложный гетерогенный процесс сигнификации, локализованный в субъектах и между субъектами. Язык креативен и продуктивен, он вовсе не является только регистратором или отражением социальных отношений </w:t>
      </w:r>
      <w:r w:rsidRPr="00926420">
        <w:rPr>
          <w:rFonts w:ascii="Times New Roman" w:hAnsi="Times New Roman"/>
          <w:sz w:val="28"/>
          <w:szCs w:val="28"/>
        </w:rPr>
        <w:t>[8, с. 31-32].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ее взгляды на язык неизбежно отразились и на понимании сущности текста. В соответствии с ее точкой зрения текст следует «динамизировать», вдохнуть в него жизнь, то есть имплантировать в него порождающего текст субъекта и ту работу дифференциации и стратификации, которая совершается в языке </w:t>
      </w:r>
      <w:r w:rsidRPr="00926420">
        <w:rPr>
          <w:rFonts w:ascii="Times New Roman" w:hAnsi="Times New Roman"/>
          <w:sz w:val="28"/>
          <w:szCs w:val="28"/>
        </w:rPr>
        <w:t>[9, с. 29].</w:t>
      </w:r>
      <w:r>
        <w:rPr>
          <w:rFonts w:ascii="Times New Roman" w:hAnsi="Times New Roman"/>
          <w:sz w:val="28"/>
          <w:szCs w:val="28"/>
        </w:rPr>
        <w:t xml:space="preserve"> И именно такой оживленный, «динамизированный» текст является объектом ее семанализа. </w:t>
      </w:r>
      <w:r>
        <w:rPr>
          <w:rFonts w:ascii="Times New Roman" w:hAnsi="Times New Roman"/>
          <w:sz w:val="28"/>
          <w:szCs w:val="28"/>
        </w:rPr>
        <w:lastRenderedPageBreak/>
        <w:t xml:space="preserve">Она вводит два основных термина для разъяснения сущности текста – </w:t>
      </w:r>
      <w:r w:rsidRPr="00926420">
        <w:rPr>
          <w:rFonts w:ascii="Times New Roman" w:hAnsi="Times New Roman"/>
          <w:i/>
          <w:sz w:val="28"/>
          <w:szCs w:val="28"/>
        </w:rPr>
        <w:t>генотекст</w:t>
      </w:r>
      <w:r w:rsidRPr="00926420">
        <w:rPr>
          <w:rFonts w:ascii="Times New Roman" w:hAnsi="Times New Roman"/>
          <w:sz w:val="28"/>
          <w:szCs w:val="28"/>
        </w:rPr>
        <w:t xml:space="preserve"> и </w:t>
      </w:r>
      <w:r w:rsidRPr="00926420">
        <w:rPr>
          <w:rFonts w:ascii="Times New Roman" w:hAnsi="Times New Roman"/>
          <w:i/>
          <w:sz w:val="28"/>
          <w:szCs w:val="28"/>
        </w:rPr>
        <w:t>фенотекст</w:t>
      </w:r>
      <w:r w:rsidRPr="00926420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9, с. 25-40</w:t>
      </w:r>
      <w:r w:rsidRPr="00926420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По мнению Кристевой, обсуждаемая ею динамизация осуществляется на критической границе, на самом острие раздела между генотекстом и фенотекстом. Описывая, чем отличаются последние (то есть генотекст и фенотекст), Кристева утверждает, что они соотносятся друг с другом как глубина и поверхность или как значащая структура и означивающая деятельность. Генотекст выступает как основа, находящаяся на предъязыковом уровне. Поверх него расположено то, что в ее интерпретационной системе получило название фенотекста. Согласно Кристевой, генотекст – это тот абстрактный уровень функционирования языка, который предшествует фразовым структурам любой определенности и противостоит любой завершенной манифестации языка, реализации любой его структуры. Более того, даже если генотекст обнаруживается в языке, он неуловим методами структурной лингвистики. Генотекст определяется Кристевой как глубинное основание языка, как тот уровень текста, который существует вне каких бы то ни было лингвистических структур, вне любых манифестаций языка, в виде определенной неструктурированной смысловой множественности. При этом такой множественности, в которой нет субъективности или коммуникативной интенции. Это некий процесс, порождающий нестабильные, легко разрушаемые и неозначивающие образования. Последние обусловливают матрицы высказывания, предшествуют любым дискурсивным жанрам и стилям, ибо генотекст охватывает все семиотические процессы, все рассредоточенные импульсы (предметную среду, до-эдиповские отношения с родителями). Более того, он описывает также и возникновение символического, отражает возникновение объекта и субъекта, сотворение самого ядра значения </w:t>
      </w:r>
      <w:r w:rsidRPr="00926420">
        <w:rPr>
          <w:rFonts w:ascii="Times New Roman" w:hAnsi="Times New Roman"/>
          <w:sz w:val="28"/>
          <w:szCs w:val="28"/>
        </w:rPr>
        <w:t>[8].</w:t>
      </w:r>
      <w:r>
        <w:rPr>
          <w:rFonts w:ascii="Times New Roman" w:hAnsi="Times New Roman"/>
          <w:sz w:val="28"/>
          <w:szCs w:val="28"/>
        </w:rPr>
        <w:t xml:space="preserve"> Согласно Кристевой, генотекст выступает как процессуальный феномен, не блокированный дискретностью конкретного коммуникативного акта </w:t>
      </w:r>
      <w:r w:rsidRPr="00926420">
        <w:rPr>
          <w:rFonts w:ascii="Times New Roman" w:hAnsi="Times New Roman"/>
          <w:sz w:val="28"/>
          <w:szCs w:val="28"/>
        </w:rPr>
        <w:t>[10, с. 156].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Фенотекст, напротив, является структурой, манифестирующей именно конкретные коммуникативные акты и приобретающей определенные границы. Кроме того, он предполагает наличие как субъекта, так и реципиента, к которому направлено высказывание. Генотекст интерпретируется ею как находящаяся на доязыковой стадии основа, а фенотекст как результат происходящего, означивание мыслится как остывающая в фенотекстах практика структурации и </w:t>
      </w:r>
      <w:r w:rsidRPr="00926420">
        <w:rPr>
          <w:rFonts w:ascii="Times New Roman" w:hAnsi="Times New Roman"/>
          <w:sz w:val="28"/>
          <w:szCs w:val="28"/>
        </w:rPr>
        <w:t>деструктурации [11, с. 243].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Многочисленные предписания и ограничения, в основном социального характера, связывают процесс означивания, определяют его конкретную форму, останавливают в том или ином месте посредством фиксированных, фрагментарных символических единиц. Фенотекст и является результатом такой остановки. Таким образом, фенотекст – это то, что соотносится с языком коммуникативного поведения, он постоянно дискретен и разделен. Более того, он подчиняется правилам коммуникации и прежде всего предполагает продуцента и реципиента, то есть говорящего и слушающего, читающего и пишущего. Фенотекст – это то сотворенное средствами языка произведение, в котором уже появляются тайные и явные социальные коды, проявляются формулы и правила определенной культуры. Из чего следует правомерность понимания фенотекста как сложного, иерархически организованного знака (или последовательности знаков), обладающего в той или иной мере устойчивым смыслом и содержащего определенные явные или скрытые штрихи, черточки, отметины, обусловленные его социокультурными детерминантами </w:t>
      </w:r>
      <w:r w:rsidRPr="00926420">
        <w:rPr>
          <w:rFonts w:ascii="Times New Roman" w:hAnsi="Times New Roman"/>
          <w:sz w:val="28"/>
          <w:szCs w:val="28"/>
        </w:rPr>
        <w:t>[10, с. 156].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Генотекст и фенотекст не исчерпывают интерпретацию сущности текста, предложенную Ю. Кристевой. Более известен введенный ею термин, или концепт интертекстуальности </w:t>
      </w:r>
      <w:r w:rsidRPr="00926420">
        <w:rPr>
          <w:rFonts w:ascii="Times New Roman" w:hAnsi="Times New Roman"/>
          <w:sz w:val="28"/>
          <w:szCs w:val="28"/>
        </w:rPr>
        <w:t>[9, с. 59-60],</w:t>
      </w:r>
      <w:r>
        <w:rPr>
          <w:rFonts w:ascii="Times New Roman" w:hAnsi="Times New Roman"/>
          <w:sz w:val="28"/>
          <w:szCs w:val="28"/>
        </w:rPr>
        <w:t xml:space="preserve"> который проливает </w:t>
      </w:r>
      <w:r>
        <w:rPr>
          <w:rFonts w:ascii="Times New Roman" w:hAnsi="Times New Roman"/>
          <w:sz w:val="28"/>
          <w:szCs w:val="28"/>
        </w:rPr>
        <w:lastRenderedPageBreak/>
        <w:t xml:space="preserve">свет и на то, что есть текст. В настоящее время термин </w:t>
      </w:r>
      <w:r w:rsidRPr="00835101">
        <w:rPr>
          <w:rFonts w:ascii="Times New Roman" w:hAnsi="Times New Roman"/>
          <w:i/>
          <w:sz w:val="28"/>
          <w:szCs w:val="28"/>
        </w:rPr>
        <w:t>интертекстуальность</w:t>
      </w:r>
      <w:r>
        <w:rPr>
          <w:rFonts w:ascii="Times New Roman" w:hAnsi="Times New Roman"/>
          <w:sz w:val="28"/>
          <w:szCs w:val="28"/>
        </w:rPr>
        <w:t xml:space="preserve"> понимается весьма неоднозначно. Одно из более полных описаний вариантов интерпретации введенного Кристевой понятия содержится в объемном томе «Интертекстуальность: теория и практика</w:t>
      </w:r>
      <w:r w:rsidRPr="00926420">
        <w:rPr>
          <w:rFonts w:ascii="Times New Roman" w:hAnsi="Times New Roman"/>
          <w:sz w:val="28"/>
          <w:szCs w:val="28"/>
        </w:rPr>
        <w:t>» [12].</w:t>
      </w:r>
      <w:r>
        <w:rPr>
          <w:rFonts w:ascii="Times New Roman" w:hAnsi="Times New Roman"/>
          <w:sz w:val="28"/>
          <w:szCs w:val="28"/>
        </w:rPr>
        <w:t xml:space="preserve"> Даже поверхностный анализ содержащихся в нем точек зрения показывает, что в большинстве своем исследователи приходят к выводу о том, что интертекстуальность предполагает значительно больше, чем аллюзии, возникающие между текстами или продуцируемые одним текстом в отношении фрагментов другого текста.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исследователя текста феномен интертекстуальности привносит новый аспект или горизонт видения объекта анализа. Текст оказывается связанным многими нитями с другими текстами, испытывающим воздействие многих предшествующих текстов и, в свою очередь, влияющим на последующие. Понятие интертекстуальности, таким образом, вносит новое измерение в деятельностный подход в интерпретации текста. Последний оказывается не только объектом, но субъектом действий. В крайней, радикальной интерпретации в свете теории интертекстуальности текст оказывается «</w:t>
      </w:r>
      <w:r>
        <w:rPr>
          <w:rFonts w:ascii="Times New Roman" w:hAnsi="Times New Roman"/>
          <w:sz w:val="28"/>
          <w:szCs w:val="28"/>
          <w:lang w:val="en-US"/>
        </w:rPr>
        <w:t>neither</w:t>
      </w:r>
      <w:r w:rsidRPr="00835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message</w:t>
      </w:r>
      <w:r w:rsidRPr="00835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nor</w:t>
      </w:r>
      <w:r w:rsidRPr="00835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medium</w:t>
      </w:r>
      <w:r>
        <w:rPr>
          <w:rFonts w:ascii="Times New Roman" w:hAnsi="Times New Roman"/>
          <w:sz w:val="28"/>
          <w:szCs w:val="28"/>
        </w:rPr>
        <w:t xml:space="preserve">» (и не посланием, и не медиумом), то есть чем-то неочерченным. Его сущность определяется  через отрицание способности текста нести определенный смысл – месидж или быть медиумом </w:t>
      </w:r>
      <w:r w:rsidRPr="00926420">
        <w:rPr>
          <w:rFonts w:ascii="Times New Roman" w:hAnsi="Times New Roman"/>
          <w:sz w:val="28"/>
          <w:szCs w:val="28"/>
        </w:rPr>
        <w:t>[13, с. 332-335]</w:t>
      </w:r>
      <w:r>
        <w:rPr>
          <w:rFonts w:ascii="Times New Roman" w:hAnsi="Times New Roman"/>
          <w:sz w:val="28"/>
          <w:szCs w:val="28"/>
        </w:rPr>
        <w:t xml:space="preserve">. Текстуальные смыслы «освобождаются» с тем, чтобы присоединиться к бесконечной флуидности. Остается только их способность отсылать к чему-то за своими пределами, к другим текстам, явлениям в громадной сети знаков, установленных традиций. </w:t>
      </w:r>
    </w:p>
    <w:p w:rsidR="00636A09" w:rsidRDefault="00636A09" w:rsidP="00636A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Обобщая представленные точки зрения, правомерно признать очевидное отсутствие однозначного толкования понятия «текст». Вместе с тем вырисовывается достаточно устойчивая трактовка его как сложного </w:t>
      </w:r>
      <w:r>
        <w:rPr>
          <w:rFonts w:ascii="Times New Roman" w:hAnsi="Times New Roman"/>
          <w:sz w:val="28"/>
          <w:szCs w:val="28"/>
        </w:rPr>
        <w:lastRenderedPageBreak/>
        <w:t xml:space="preserve">коммуникативного и семиотического события. Кроме того, объединяющим началом правомерно признать понимание текста как цели и результата устной или письменной языковой деятельности и значимость фигуры человека, пользующегося языком. В таком широком понимании текст неизбежно становится главным источником исследования языка, осмысления всех его форм, особенностей и категорий.  </w:t>
      </w:r>
    </w:p>
    <w:p w:rsidR="00636A09" w:rsidRDefault="00636A09" w:rsidP="00636A09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636A09" w:rsidRPr="0034012A" w:rsidRDefault="00636A09" w:rsidP="00636A09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b/>
          <w:i/>
          <w:sz w:val="28"/>
        </w:rPr>
        <w:t>Библиографический</w:t>
      </w:r>
      <w:r w:rsidRPr="0034012A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список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7587">
        <w:rPr>
          <w:rFonts w:ascii="Times New Roman" w:hAnsi="Times New Roman"/>
          <w:sz w:val="28"/>
          <w:szCs w:val="28"/>
          <w:lang w:val="en-US"/>
        </w:rPr>
        <w:t>1. </w:t>
      </w:r>
      <w:r w:rsidRPr="0034012A">
        <w:rPr>
          <w:rFonts w:ascii="Times New Roman" w:hAnsi="Times New Roman"/>
          <w:b/>
          <w:sz w:val="28"/>
          <w:szCs w:val="28"/>
          <w:lang w:val="en-US"/>
        </w:rPr>
        <w:t>Firth, J.R.</w:t>
      </w:r>
      <w:r w:rsidRPr="00207587">
        <w:rPr>
          <w:rFonts w:ascii="Times New Roman" w:hAnsi="Times New Roman"/>
          <w:sz w:val="28"/>
          <w:szCs w:val="28"/>
          <w:lang w:val="en-US"/>
        </w:rPr>
        <w:t xml:space="preserve"> Papers in Linguistics, 1934-51. – </w:t>
      </w:r>
      <w:smartTag w:uri="urn:schemas-microsoft-com:office:smarttags" w:element="City">
        <w:r w:rsidRPr="00207587">
          <w:rPr>
            <w:rFonts w:ascii="Times New Roman" w:hAnsi="Times New Roman"/>
            <w:sz w:val="28"/>
            <w:szCs w:val="28"/>
            <w:lang w:val="en-US"/>
          </w:rPr>
          <w:t>London</w:t>
        </w:r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  <w:r w:rsidRPr="00207587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 Press, 1957. – 407 p.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7587">
        <w:rPr>
          <w:rFonts w:ascii="Times New Roman" w:hAnsi="Times New Roman"/>
          <w:sz w:val="28"/>
          <w:szCs w:val="28"/>
          <w:lang w:val="en-US"/>
        </w:rPr>
        <w:t>2. </w:t>
      </w:r>
      <w:r w:rsidRPr="0034012A">
        <w:rPr>
          <w:rFonts w:ascii="Times New Roman" w:hAnsi="Times New Roman"/>
          <w:b/>
          <w:sz w:val="28"/>
          <w:szCs w:val="28"/>
          <w:lang w:val="en-US"/>
        </w:rPr>
        <w:t>Lyons, J.</w:t>
      </w:r>
      <w:r w:rsidRPr="00207587">
        <w:rPr>
          <w:rFonts w:ascii="Times New Roman" w:hAnsi="Times New Roman"/>
          <w:sz w:val="28"/>
          <w:szCs w:val="28"/>
          <w:lang w:val="en-US"/>
        </w:rPr>
        <w:t xml:space="preserve"> Semantics, vol. 2. – </w:t>
      </w:r>
      <w:smartTag w:uri="urn:schemas-microsoft-com:office:smarttags" w:element="place">
        <w:smartTag w:uri="urn:schemas-microsoft-com:office:smarttags" w:element="City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Cambridge</w:t>
          </w:r>
        </w:smartTag>
      </w:smartTag>
      <w:r w:rsidRPr="00207587">
        <w:rPr>
          <w:rFonts w:ascii="Times New Roman" w:hAnsi="Times New Roman"/>
          <w:sz w:val="28"/>
          <w:szCs w:val="28"/>
          <w:lang w:val="en-US"/>
        </w:rPr>
        <w:t>: CUP, 1977. – 780 p.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7587">
        <w:rPr>
          <w:rFonts w:ascii="Times New Roman" w:hAnsi="Times New Roman"/>
          <w:sz w:val="28"/>
          <w:szCs w:val="28"/>
        </w:rPr>
        <w:t>3. </w:t>
      </w:r>
      <w:r w:rsidRPr="0034012A">
        <w:rPr>
          <w:rFonts w:ascii="Times New Roman" w:hAnsi="Times New Roman"/>
          <w:b/>
          <w:sz w:val="28"/>
          <w:szCs w:val="28"/>
        </w:rPr>
        <w:t>Гальперин, И.Р</w:t>
      </w:r>
      <w:r w:rsidRPr="00207587">
        <w:rPr>
          <w:rFonts w:ascii="Times New Roman" w:hAnsi="Times New Roman"/>
          <w:sz w:val="28"/>
          <w:szCs w:val="28"/>
        </w:rPr>
        <w:t>. Текст как объект лингвистического исследования. – М.: Наука, 1981. – 316 с.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7587">
        <w:rPr>
          <w:rFonts w:ascii="Times New Roman" w:hAnsi="Times New Roman"/>
          <w:sz w:val="28"/>
          <w:szCs w:val="28"/>
        </w:rPr>
        <w:t>4. </w:t>
      </w:r>
      <w:r w:rsidRPr="0034012A">
        <w:rPr>
          <w:rFonts w:ascii="Times New Roman" w:hAnsi="Times New Roman"/>
          <w:b/>
          <w:sz w:val="28"/>
          <w:szCs w:val="28"/>
        </w:rPr>
        <w:t>Москальская, О.И.</w:t>
      </w:r>
      <w:r w:rsidRPr="00207587">
        <w:rPr>
          <w:rFonts w:ascii="Times New Roman" w:hAnsi="Times New Roman"/>
          <w:sz w:val="28"/>
          <w:szCs w:val="28"/>
        </w:rPr>
        <w:t xml:space="preserve"> Грамматика текста. – М.: Наука, 1981. – 304 с.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7587">
        <w:rPr>
          <w:rFonts w:ascii="Times New Roman" w:hAnsi="Times New Roman"/>
          <w:sz w:val="28"/>
          <w:szCs w:val="28"/>
          <w:lang w:val="en-US"/>
        </w:rPr>
        <w:t>5. </w:t>
      </w:r>
      <w:proofErr w:type="spellStart"/>
      <w:r w:rsidRPr="0034012A">
        <w:rPr>
          <w:rFonts w:ascii="Times New Roman" w:hAnsi="Times New Roman"/>
          <w:b/>
          <w:sz w:val="28"/>
          <w:szCs w:val="28"/>
          <w:lang w:val="en-US"/>
        </w:rPr>
        <w:t>Ricouer</w:t>
      </w:r>
      <w:proofErr w:type="spellEnd"/>
      <w:r w:rsidRPr="0034012A">
        <w:rPr>
          <w:rFonts w:ascii="Times New Roman" w:hAnsi="Times New Roman"/>
          <w:b/>
          <w:sz w:val="28"/>
          <w:szCs w:val="28"/>
          <w:lang w:val="en-US"/>
        </w:rPr>
        <w:t>, P.</w:t>
      </w:r>
      <w:r w:rsidRPr="00207587">
        <w:rPr>
          <w:rFonts w:ascii="Times New Roman" w:hAnsi="Times New Roman"/>
          <w:sz w:val="28"/>
          <w:szCs w:val="28"/>
          <w:lang w:val="en-US"/>
        </w:rPr>
        <w:t xml:space="preserve"> Hermeneutics and the Human Sciences. – </w:t>
      </w:r>
      <w:smartTag w:uri="urn:schemas-microsoft-com:office:smarttags" w:element="City">
        <w:r w:rsidRPr="00207587">
          <w:rPr>
            <w:rFonts w:ascii="Times New Roman" w:hAnsi="Times New Roman"/>
            <w:sz w:val="28"/>
            <w:szCs w:val="28"/>
            <w:lang w:val="en-US"/>
          </w:rPr>
          <w:t>Cambridge</w:t>
        </w:r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; </w:t>
      </w:r>
      <w:smartTag w:uri="urn:schemas-microsoft-com:office:smarttags" w:element="State">
        <w:r w:rsidRPr="00207587">
          <w:rPr>
            <w:rFonts w:ascii="Times New Roman" w:hAnsi="Times New Roman"/>
            <w:sz w:val="28"/>
            <w:szCs w:val="28"/>
            <w:lang w:val="en-US"/>
          </w:rPr>
          <w:t>New York</w:t>
        </w:r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Cambridge</w:t>
          </w:r>
        </w:smartTag>
        <w:r w:rsidRPr="00207587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 Press, 1981. – 418 p.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7587">
        <w:rPr>
          <w:rFonts w:ascii="Times New Roman" w:hAnsi="Times New Roman"/>
          <w:sz w:val="28"/>
          <w:szCs w:val="28"/>
          <w:lang w:val="en-US"/>
        </w:rPr>
        <w:t>6. </w:t>
      </w:r>
      <w:r w:rsidRPr="0034012A">
        <w:rPr>
          <w:rFonts w:ascii="Times New Roman" w:hAnsi="Times New Roman"/>
          <w:b/>
          <w:sz w:val="28"/>
          <w:szCs w:val="28"/>
          <w:lang w:val="en-US"/>
        </w:rPr>
        <w:t>Derrida, J.</w:t>
      </w:r>
      <w:r w:rsidRPr="00207587">
        <w:rPr>
          <w:rFonts w:ascii="Times New Roman" w:hAnsi="Times New Roman"/>
          <w:sz w:val="28"/>
          <w:szCs w:val="28"/>
          <w:lang w:val="en-US"/>
        </w:rPr>
        <w:t xml:space="preserve"> Deconstruction and Criticism. – </w:t>
      </w:r>
      <w:smartTag w:uri="urn:schemas-microsoft-com:office:smarttags" w:element="place">
        <w:smartTag w:uri="urn:schemas-microsoft-com:office:smarttags" w:element="City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207587">
        <w:rPr>
          <w:rFonts w:ascii="Times New Roman" w:hAnsi="Times New Roman"/>
          <w:sz w:val="28"/>
          <w:szCs w:val="28"/>
          <w:lang w:val="en-US"/>
        </w:rPr>
        <w:t>Routledge</w:t>
      </w:r>
      <w:proofErr w:type="spellEnd"/>
      <w:r w:rsidRPr="00207587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207587">
        <w:rPr>
          <w:rFonts w:ascii="Times New Roman" w:hAnsi="Times New Roman"/>
          <w:sz w:val="28"/>
          <w:szCs w:val="28"/>
          <w:lang w:val="en-US"/>
        </w:rPr>
        <w:t>Kegan</w:t>
      </w:r>
      <w:proofErr w:type="spellEnd"/>
      <w:r w:rsidRPr="00207587">
        <w:rPr>
          <w:rFonts w:ascii="Times New Roman" w:hAnsi="Times New Roman"/>
          <w:sz w:val="28"/>
          <w:szCs w:val="28"/>
          <w:lang w:val="en-US"/>
        </w:rPr>
        <w:t xml:space="preserve"> Paul, 1979. – 244 p.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7587">
        <w:rPr>
          <w:rFonts w:ascii="Times New Roman" w:hAnsi="Times New Roman"/>
          <w:sz w:val="28"/>
          <w:szCs w:val="28"/>
          <w:lang w:val="en-US"/>
        </w:rPr>
        <w:t>7. </w:t>
      </w:r>
      <w:r w:rsidRPr="0034012A">
        <w:rPr>
          <w:rFonts w:ascii="Times New Roman" w:hAnsi="Times New Roman"/>
          <w:b/>
          <w:sz w:val="28"/>
          <w:szCs w:val="28"/>
          <w:lang w:val="en-US"/>
        </w:rPr>
        <w:t>Barthes, R.</w:t>
      </w:r>
      <w:r w:rsidRPr="00207587">
        <w:rPr>
          <w:rFonts w:ascii="Times New Roman" w:hAnsi="Times New Roman"/>
          <w:sz w:val="28"/>
          <w:szCs w:val="28"/>
          <w:lang w:val="en-US"/>
        </w:rPr>
        <w:t xml:space="preserve"> From Work to Text//Textual Strategies. Perspectives in Poststructuralist Criticism/Ed. </w:t>
      </w:r>
      <w:proofErr w:type="spellStart"/>
      <w:r w:rsidRPr="00207587">
        <w:rPr>
          <w:rFonts w:ascii="Times New Roman" w:hAnsi="Times New Roman"/>
          <w:sz w:val="28"/>
          <w:szCs w:val="28"/>
          <w:lang w:val="en-US"/>
        </w:rPr>
        <w:t>Josue</w:t>
      </w:r>
      <w:proofErr w:type="spellEnd"/>
      <w:r w:rsidRPr="00207587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207587">
        <w:rPr>
          <w:rFonts w:ascii="Times New Roman" w:hAnsi="Times New Roman"/>
          <w:sz w:val="28"/>
          <w:szCs w:val="28"/>
          <w:lang w:val="en-US"/>
        </w:rPr>
        <w:t>Harari</w:t>
      </w:r>
      <w:proofErr w:type="spellEnd"/>
      <w:r w:rsidRPr="0020758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07587">
        <w:rPr>
          <w:rFonts w:ascii="Times New Roman" w:hAnsi="Times New Roman"/>
          <w:sz w:val="28"/>
          <w:szCs w:val="28"/>
          <w:lang w:val="en-US"/>
        </w:rPr>
        <w:t>Ithaxa</w:t>
      </w:r>
      <w:proofErr w:type="spellEnd"/>
      <w:r w:rsidRPr="00207587">
        <w:rPr>
          <w:rFonts w:ascii="Times New Roman" w:hAnsi="Times New Roman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Cornell</w:t>
          </w:r>
        </w:smartTag>
        <w:r w:rsidRPr="00207587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 Press, 1979. 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7587">
        <w:rPr>
          <w:rFonts w:ascii="Times New Roman" w:hAnsi="Times New Roman"/>
          <w:sz w:val="28"/>
          <w:szCs w:val="28"/>
          <w:lang w:val="en-US"/>
        </w:rPr>
        <w:t>8. Selected Writings</w:t>
      </w:r>
      <w:r w:rsidRPr="003401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7587">
        <w:rPr>
          <w:rFonts w:ascii="Times New Roman" w:hAnsi="Times New Roman"/>
          <w:sz w:val="28"/>
          <w:szCs w:val="28"/>
          <w:lang w:val="en-US"/>
        </w:rPr>
        <w:t>/</w:t>
      </w:r>
      <w:r w:rsidRPr="003401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7587">
        <w:rPr>
          <w:rFonts w:ascii="Times New Roman" w:hAnsi="Times New Roman"/>
          <w:sz w:val="28"/>
          <w:szCs w:val="28"/>
          <w:lang w:val="en-US"/>
        </w:rPr>
        <w:t>Ed. N. </w:t>
      </w:r>
      <w:proofErr w:type="spellStart"/>
      <w:r w:rsidRPr="00207587">
        <w:rPr>
          <w:rFonts w:ascii="Times New Roman" w:hAnsi="Times New Roman"/>
          <w:sz w:val="28"/>
          <w:szCs w:val="28"/>
          <w:lang w:val="en-US"/>
        </w:rPr>
        <w:t>Moi</w:t>
      </w:r>
      <w:proofErr w:type="spellEnd"/>
      <w:r w:rsidRPr="0020758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207587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 w:rsidRPr="00207587">
        <w:rPr>
          <w:rFonts w:ascii="Times New Roman" w:hAnsi="Times New Roman"/>
          <w:sz w:val="28"/>
          <w:szCs w:val="28"/>
          <w:lang w:val="en-US"/>
        </w:rPr>
        <w:t>Kristeva</w:t>
      </w:r>
      <w:proofErr w:type="spellEnd"/>
      <w:r w:rsidRPr="00207587">
        <w:rPr>
          <w:rFonts w:ascii="Times New Roman" w:hAnsi="Times New Roman"/>
          <w:sz w:val="28"/>
          <w:szCs w:val="28"/>
          <w:lang w:val="en-US"/>
        </w:rPr>
        <w:t xml:space="preserve"> Reader.</w:t>
      </w:r>
      <w:proofErr w:type="gramEnd"/>
      <w:r w:rsidRPr="00207587">
        <w:rPr>
          <w:rFonts w:ascii="Times New Roman" w:hAnsi="Times New Roman"/>
          <w:sz w:val="28"/>
          <w:szCs w:val="28"/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</w:smartTag>
      <w:r w:rsidRPr="00207587">
        <w:rPr>
          <w:rFonts w:ascii="Times New Roman" w:hAnsi="Times New Roman"/>
          <w:sz w:val="28"/>
          <w:szCs w:val="28"/>
          <w:lang w:val="en-US"/>
        </w:rPr>
        <w:t>: Basil Blackwell, 1986.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7587">
        <w:rPr>
          <w:rFonts w:ascii="Times New Roman" w:hAnsi="Times New Roman"/>
          <w:sz w:val="28"/>
          <w:szCs w:val="28"/>
          <w:lang w:val="en-US"/>
        </w:rPr>
        <w:t>9. </w:t>
      </w:r>
      <w:proofErr w:type="spellStart"/>
      <w:r w:rsidRPr="0034012A">
        <w:rPr>
          <w:rFonts w:ascii="Times New Roman" w:hAnsi="Times New Roman"/>
          <w:b/>
          <w:sz w:val="28"/>
          <w:szCs w:val="28"/>
          <w:lang w:val="en-US"/>
        </w:rPr>
        <w:t>Kristeva</w:t>
      </w:r>
      <w:proofErr w:type="spellEnd"/>
      <w:r w:rsidRPr="0034012A">
        <w:rPr>
          <w:rFonts w:ascii="Times New Roman" w:hAnsi="Times New Roman"/>
          <w:b/>
          <w:sz w:val="28"/>
          <w:szCs w:val="28"/>
          <w:lang w:val="en-US"/>
        </w:rPr>
        <w:t>, J.</w:t>
      </w:r>
      <w:r w:rsidRPr="00207587">
        <w:rPr>
          <w:rFonts w:ascii="Times New Roman" w:hAnsi="Times New Roman"/>
          <w:sz w:val="28"/>
          <w:szCs w:val="28"/>
          <w:lang w:val="en-US"/>
        </w:rPr>
        <w:t xml:space="preserve"> Revolution in Poetic Language. – </w:t>
      </w:r>
      <w:smartTag w:uri="urn:schemas-microsoft-com:office:smarttags" w:element="State">
        <w:r w:rsidRPr="00207587">
          <w:rPr>
            <w:rFonts w:ascii="Times New Roman" w:hAnsi="Times New Roman"/>
            <w:sz w:val="28"/>
            <w:szCs w:val="28"/>
            <w:lang w:val="en-US"/>
          </w:rPr>
          <w:t>New York</w:t>
        </w:r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Columbia</w:t>
          </w:r>
        </w:smartTag>
        <w:r w:rsidRPr="00207587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 Press, 1984. – 207 p. 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7587">
        <w:rPr>
          <w:rFonts w:ascii="Times New Roman" w:hAnsi="Times New Roman"/>
          <w:sz w:val="28"/>
          <w:szCs w:val="28"/>
        </w:rPr>
        <w:t>10.</w:t>
      </w:r>
      <w:r w:rsidRPr="00207587">
        <w:rPr>
          <w:rFonts w:ascii="Times New Roman" w:hAnsi="Times New Roman"/>
          <w:sz w:val="28"/>
          <w:szCs w:val="28"/>
          <w:lang w:val="en-US"/>
        </w:rPr>
        <w:t> </w:t>
      </w:r>
      <w:r w:rsidRPr="0034012A">
        <w:rPr>
          <w:rFonts w:ascii="Times New Roman" w:hAnsi="Times New Roman"/>
          <w:b/>
          <w:sz w:val="28"/>
          <w:szCs w:val="28"/>
        </w:rPr>
        <w:t>Усманова, А.Р.</w:t>
      </w:r>
      <w:r w:rsidRPr="00207587">
        <w:rPr>
          <w:rFonts w:ascii="Times New Roman" w:hAnsi="Times New Roman"/>
          <w:sz w:val="28"/>
          <w:szCs w:val="28"/>
        </w:rPr>
        <w:t xml:space="preserve"> Генот</w:t>
      </w:r>
      <w:r>
        <w:rPr>
          <w:rFonts w:ascii="Times New Roman" w:hAnsi="Times New Roman"/>
          <w:sz w:val="28"/>
          <w:szCs w:val="28"/>
        </w:rPr>
        <w:t xml:space="preserve">екст. </w:t>
      </w:r>
      <w:r w:rsidRPr="0020758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 w:rsidRPr="00207587">
        <w:rPr>
          <w:rFonts w:ascii="Times New Roman" w:hAnsi="Times New Roman"/>
          <w:sz w:val="28"/>
          <w:szCs w:val="28"/>
        </w:rPr>
        <w:t>нотекст//Постмодернизм. Энциклопедия. – Мн.: Интерпресссервис, 2001.</w:t>
      </w:r>
      <w:r>
        <w:rPr>
          <w:rFonts w:ascii="Times New Roman" w:hAnsi="Times New Roman"/>
          <w:sz w:val="28"/>
          <w:szCs w:val="28"/>
        </w:rPr>
        <w:t xml:space="preserve"> – С. 156-157.</w:t>
      </w:r>
    </w:p>
    <w:p w:rsidR="00636A09" w:rsidRPr="00935093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7587">
        <w:rPr>
          <w:rFonts w:ascii="Times New Roman" w:hAnsi="Times New Roman"/>
          <w:sz w:val="28"/>
          <w:szCs w:val="28"/>
        </w:rPr>
        <w:t>11. </w:t>
      </w:r>
      <w:r w:rsidRPr="0034012A">
        <w:rPr>
          <w:rFonts w:ascii="Times New Roman" w:hAnsi="Times New Roman"/>
          <w:b/>
          <w:sz w:val="28"/>
          <w:szCs w:val="28"/>
        </w:rPr>
        <w:t>Можейко, М.А.</w:t>
      </w:r>
      <w:r w:rsidRPr="00207587">
        <w:rPr>
          <w:rFonts w:ascii="Times New Roman" w:hAnsi="Times New Roman"/>
          <w:sz w:val="28"/>
          <w:szCs w:val="28"/>
        </w:rPr>
        <w:t xml:space="preserve"> Диспозитив семиотический//Постмодернизм. Энциклопедия</w:t>
      </w:r>
      <w:r w:rsidRPr="00207587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207587">
        <w:rPr>
          <w:rFonts w:ascii="Times New Roman" w:hAnsi="Times New Roman"/>
          <w:sz w:val="28"/>
          <w:szCs w:val="28"/>
        </w:rPr>
        <w:t>Мн</w:t>
      </w:r>
      <w:r w:rsidRPr="00207587">
        <w:rPr>
          <w:rFonts w:ascii="Times New Roman" w:hAnsi="Times New Roman"/>
          <w:sz w:val="28"/>
          <w:szCs w:val="28"/>
          <w:lang w:val="en-US"/>
        </w:rPr>
        <w:t>.:</w:t>
      </w:r>
      <w:proofErr w:type="gramEnd"/>
      <w:r w:rsidRPr="0020758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7587">
        <w:rPr>
          <w:rFonts w:ascii="Times New Roman" w:hAnsi="Times New Roman"/>
          <w:sz w:val="28"/>
          <w:szCs w:val="28"/>
        </w:rPr>
        <w:t>Интерпресссервис</w:t>
      </w:r>
      <w:r w:rsidRPr="00207587">
        <w:rPr>
          <w:rFonts w:ascii="Times New Roman" w:hAnsi="Times New Roman"/>
          <w:sz w:val="28"/>
          <w:szCs w:val="28"/>
          <w:lang w:val="en-US"/>
        </w:rPr>
        <w:t>, 2001.</w:t>
      </w:r>
      <w:r w:rsidRPr="00935093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935093">
        <w:rPr>
          <w:rFonts w:ascii="Times New Roman" w:hAnsi="Times New Roman"/>
          <w:sz w:val="28"/>
          <w:szCs w:val="28"/>
          <w:lang w:val="en-US"/>
        </w:rPr>
        <w:t>. 243</w:t>
      </w:r>
      <w:proofErr w:type="gramEnd"/>
      <w:r w:rsidRPr="00935093">
        <w:rPr>
          <w:rFonts w:ascii="Times New Roman" w:hAnsi="Times New Roman"/>
          <w:sz w:val="28"/>
          <w:szCs w:val="28"/>
          <w:lang w:val="en-US"/>
        </w:rPr>
        <w:t>-244.</w:t>
      </w:r>
    </w:p>
    <w:p w:rsidR="00636A09" w:rsidRPr="00207587" w:rsidRDefault="00636A09" w:rsidP="00636A0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7587">
        <w:rPr>
          <w:rFonts w:ascii="Times New Roman" w:hAnsi="Times New Roman"/>
          <w:sz w:val="28"/>
          <w:szCs w:val="28"/>
          <w:lang w:val="en-US"/>
        </w:rPr>
        <w:t>12. </w:t>
      </w:r>
      <w:proofErr w:type="spellStart"/>
      <w:r w:rsidRPr="00207587">
        <w:rPr>
          <w:rFonts w:ascii="Times New Roman" w:hAnsi="Times New Roman"/>
          <w:sz w:val="28"/>
          <w:szCs w:val="28"/>
          <w:lang w:val="en-US"/>
        </w:rPr>
        <w:t>Intertextuality</w:t>
      </w:r>
      <w:proofErr w:type="spellEnd"/>
      <w:r w:rsidRPr="00207587">
        <w:rPr>
          <w:rFonts w:ascii="Times New Roman" w:hAnsi="Times New Roman"/>
          <w:sz w:val="28"/>
          <w:szCs w:val="28"/>
          <w:lang w:val="en-US"/>
        </w:rPr>
        <w:t>: Theories and Practices/Ed. by M. </w:t>
      </w:r>
      <w:proofErr w:type="spellStart"/>
      <w:r w:rsidRPr="00207587">
        <w:rPr>
          <w:rFonts w:ascii="Times New Roman" w:hAnsi="Times New Roman"/>
          <w:sz w:val="28"/>
          <w:szCs w:val="28"/>
          <w:lang w:val="en-US"/>
        </w:rPr>
        <w:t>Worton</w:t>
      </w:r>
      <w:proofErr w:type="spellEnd"/>
      <w:r w:rsidRPr="00207587">
        <w:rPr>
          <w:rFonts w:ascii="Times New Roman" w:hAnsi="Times New Roman"/>
          <w:sz w:val="28"/>
          <w:szCs w:val="28"/>
          <w:lang w:val="en-US"/>
        </w:rPr>
        <w:t xml:space="preserve"> and J. Still. – </w:t>
      </w:r>
      <w:smartTag w:uri="urn:schemas-microsoft-com:office:smarttags" w:element="City">
        <w:r w:rsidRPr="00207587">
          <w:rPr>
            <w:rFonts w:ascii="Times New Roman" w:hAnsi="Times New Roman"/>
            <w:sz w:val="28"/>
            <w:szCs w:val="28"/>
            <w:lang w:val="en-US"/>
          </w:rPr>
          <w:t>Manchester</w:t>
        </w:r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Manchester</w:t>
          </w:r>
        </w:smartTag>
        <w:r w:rsidRPr="00207587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207587">
        <w:rPr>
          <w:rFonts w:ascii="Times New Roman" w:hAnsi="Times New Roman"/>
          <w:sz w:val="28"/>
          <w:szCs w:val="28"/>
          <w:lang w:val="en-US"/>
        </w:rPr>
        <w:t xml:space="preserve"> Press, 1990. – 512 p.</w:t>
      </w:r>
    </w:p>
    <w:p w:rsidR="00636A09" w:rsidRPr="0013382F" w:rsidRDefault="00636A09" w:rsidP="00636A09">
      <w:pPr>
        <w:spacing w:line="240" w:lineRule="atLeast"/>
        <w:ind w:firstLine="709"/>
        <w:jc w:val="both"/>
        <w:rPr>
          <w:lang w:val="en-US"/>
        </w:rPr>
      </w:pPr>
      <w:r w:rsidRPr="00207587">
        <w:rPr>
          <w:rFonts w:ascii="Times New Roman" w:hAnsi="Times New Roman"/>
          <w:sz w:val="28"/>
          <w:szCs w:val="28"/>
          <w:lang w:val="en-US"/>
        </w:rPr>
        <w:lastRenderedPageBreak/>
        <w:t>13. </w:t>
      </w:r>
      <w:proofErr w:type="spellStart"/>
      <w:r w:rsidRPr="0034012A">
        <w:rPr>
          <w:rFonts w:ascii="Times New Roman" w:hAnsi="Times New Roman"/>
          <w:b/>
          <w:sz w:val="28"/>
          <w:szCs w:val="28"/>
          <w:lang w:val="en-US"/>
        </w:rPr>
        <w:t>Thiselton</w:t>
      </w:r>
      <w:proofErr w:type="spellEnd"/>
      <w:r w:rsidRPr="0034012A">
        <w:rPr>
          <w:rFonts w:ascii="Times New Roman" w:hAnsi="Times New Roman"/>
          <w:b/>
          <w:sz w:val="28"/>
          <w:szCs w:val="28"/>
          <w:lang w:val="en-US"/>
        </w:rPr>
        <w:t>, F.C</w:t>
      </w:r>
      <w:r w:rsidRPr="00207587">
        <w:rPr>
          <w:rFonts w:ascii="Times New Roman" w:hAnsi="Times New Roman"/>
          <w:sz w:val="28"/>
          <w:szCs w:val="28"/>
          <w:lang w:val="en-US"/>
        </w:rPr>
        <w:t xml:space="preserve">. Hermeneutics. – </w:t>
      </w:r>
      <w:smartTag w:uri="urn:schemas-microsoft-com:office:smarttags" w:element="place">
        <w:smartTag w:uri="urn:schemas-microsoft-com:office:smarttags" w:element="City">
          <w:r w:rsidRPr="00207587">
            <w:rPr>
              <w:rFonts w:ascii="Times New Roman" w:hAnsi="Times New Roman"/>
              <w:sz w:val="28"/>
              <w:szCs w:val="28"/>
              <w:lang w:val="en-US"/>
            </w:rPr>
            <w:t>Cambridge</w:t>
          </w:r>
        </w:smartTag>
      </w:smartTag>
      <w:r w:rsidRPr="00207587">
        <w:rPr>
          <w:rFonts w:ascii="Times New Roman" w:hAnsi="Times New Roman"/>
          <w:sz w:val="28"/>
          <w:szCs w:val="28"/>
          <w:lang w:val="en-US"/>
        </w:rPr>
        <w:t>: William B. E5rrdmans PC, 2009. – 409 p.</w:t>
      </w:r>
    </w:p>
    <w:p w:rsidR="007C7E09" w:rsidRPr="00636A09" w:rsidRDefault="007C7E09" w:rsidP="007C7E09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74E" w:rsidRPr="007C7E09" w:rsidRDefault="0091474E" w:rsidP="007C7E09">
      <w:pPr>
        <w:rPr>
          <w:szCs w:val="28"/>
          <w:lang w:val="en-GB"/>
        </w:rPr>
      </w:pPr>
    </w:p>
    <w:sectPr w:rsidR="0091474E" w:rsidRPr="007C7E09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93B1C"/>
    <w:rsid w:val="001040EB"/>
    <w:rsid w:val="001C2AA7"/>
    <w:rsid w:val="00483716"/>
    <w:rsid w:val="00484FA4"/>
    <w:rsid w:val="004F3014"/>
    <w:rsid w:val="005809AC"/>
    <w:rsid w:val="006160B3"/>
    <w:rsid w:val="00636A09"/>
    <w:rsid w:val="006E6E95"/>
    <w:rsid w:val="007C7E09"/>
    <w:rsid w:val="007D7B7D"/>
    <w:rsid w:val="008D477E"/>
    <w:rsid w:val="0091474E"/>
    <w:rsid w:val="00A76E80"/>
    <w:rsid w:val="00D76D6A"/>
    <w:rsid w:val="00E61B0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6"/>
  </w:style>
  <w:style w:type="paragraph" w:styleId="1">
    <w:name w:val="heading 1"/>
    <w:basedOn w:val="a"/>
    <w:next w:val="a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7B7D"/>
  </w:style>
  <w:style w:type="character" w:customStyle="1" w:styleId="apple-converted-space">
    <w:name w:val="apple-converted-space"/>
    <w:basedOn w:val="a0"/>
    <w:rsid w:val="007D7B7D"/>
  </w:style>
  <w:style w:type="paragraph" w:styleId="a3">
    <w:name w:val="List Paragraph"/>
    <w:basedOn w:val="a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Сноска_"/>
    <w:link w:val="a5"/>
    <w:locked/>
    <w:rsid w:val="001C2AA7"/>
    <w:rPr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6">
    <w:name w:val="Normal (Web)"/>
    <w:basedOn w:val="a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endnote text"/>
    <w:basedOn w:val="a"/>
    <w:link w:val="a8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8">
    <w:name w:val="Текст концевой сноски Знак"/>
    <w:basedOn w:val="a0"/>
    <w:link w:val="a7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9">
    <w:name w:val="Body Text Indent"/>
    <w:basedOn w:val="a"/>
    <w:link w:val="aa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rsid w:val="00A76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2756</Words>
  <Characters>16814</Characters>
  <Application>Microsoft Office Word</Application>
  <DocSecurity>0</DocSecurity>
  <Lines>140</Lines>
  <Paragraphs>39</Paragraphs>
  <ScaleCrop>false</ScaleCrop>
  <Company/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dcterms:created xsi:type="dcterms:W3CDTF">2012-11-02T10:17:00Z</dcterms:created>
  <dcterms:modified xsi:type="dcterms:W3CDTF">2012-11-02T10:36:00Z</dcterms:modified>
</cp:coreProperties>
</file>