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C9" w:rsidRPr="00602367" w:rsidRDefault="008F4BC9" w:rsidP="008F4BC9">
      <w:pPr>
        <w:spacing w:after="0" w:line="240" w:lineRule="auto"/>
        <w:jc w:val="center"/>
        <w:rPr>
          <w:rFonts w:ascii="Times New Roman" w:hAnsi="Times New Roman" w:cs="Times New Roman"/>
          <w:b/>
        </w:rPr>
      </w:pPr>
      <w:r>
        <w:rPr>
          <w:rFonts w:ascii="Times New Roman" w:hAnsi="Times New Roman" w:cs="Times New Roman"/>
          <w:b/>
        </w:rPr>
        <w:t>Р</w:t>
      </w:r>
      <w:r w:rsidRPr="009D1220">
        <w:rPr>
          <w:rFonts w:ascii="Times New Roman" w:hAnsi="Times New Roman" w:cs="Times New Roman"/>
          <w:b/>
        </w:rPr>
        <w:t>азвити</w:t>
      </w:r>
      <w:r>
        <w:rPr>
          <w:rFonts w:ascii="Times New Roman" w:hAnsi="Times New Roman" w:cs="Times New Roman"/>
          <w:b/>
        </w:rPr>
        <w:t>е</w:t>
      </w:r>
      <w:r w:rsidRPr="009D1220">
        <w:rPr>
          <w:rFonts w:ascii="Times New Roman" w:hAnsi="Times New Roman" w:cs="Times New Roman"/>
          <w:b/>
        </w:rPr>
        <w:t xml:space="preserve"> финансового рынка Республики Беларусь</w:t>
      </w:r>
      <w:r>
        <w:rPr>
          <w:rFonts w:ascii="Times New Roman" w:hAnsi="Times New Roman" w:cs="Times New Roman"/>
          <w:b/>
        </w:rPr>
        <w:t>: выбор приоритето</w:t>
      </w:r>
      <w:r w:rsidRPr="00602367">
        <w:rPr>
          <w:rFonts w:ascii="Times New Roman" w:hAnsi="Times New Roman" w:cs="Times New Roman"/>
          <w:b/>
        </w:rPr>
        <w:t>в</w:t>
      </w:r>
    </w:p>
    <w:p w:rsidR="008F4BC9" w:rsidRPr="009D1220" w:rsidRDefault="008F4BC9" w:rsidP="008F4BC9">
      <w:pPr>
        <w:spacing w:after="0" w:line="240" w:lineRule="auto"/>
        <w:jc w:val="center"/>
        <w:rPr>
          <w:rFonts w:ascii="Times New Roman" w:hAnsi="Times New Roman" w:cs="Times New Roman"/>
        </w:rPr>
      </w:pPr>
      <w:r w:rsidRPr="009D1220">
        <w:rPr>
          <w:rFonts w:ascii="Times New Roman" w:hAnsi="Times New Roman" w:cs="Times New Roman"/>
        </w:rPr>
        <w:t>Струк Т</w:t>
      </w:r>
      <w:r>
        <w:rPr>
          <w:rFonts w:ascii="Times New Roman" w:hAnsi="Times New Roman" w:cs="Times New Roman"/>
        </w:rPr>
        <w:t>атьяна Григорьевна</w:t>
      </w:r>
      <w:r w:rsidRPr="009D1220">
        <w:rPr>
          <w:rFonts w:ascii="Times New Roman" w:hAnsi="Times New Roman" w:cs="Times New Roman"/>
        </w:rPr>
        <w:t>,</w:t>
      </w:r>
    </w:p>
    <w:p w:rsidR="008F4BC9" w:rsidRDefault="008F4BC9" w:rsidP="008F4BC9">
      <w:pPr>
        <w:spacing w:after="0" w:line="240" w:lineRule="auto"/>
        <w:jc w:val="center"/>
        <w:rPr>
          <w:rFonts w:ascii="Times New Roman" w:hAnsi="Times New Roman" w:cs="Times New Roman"/>
          <w:i/>
        </w:rPr>
      </w:pPr>
      <w:r w:rsidRPr="009D1220">
        <w:rPr>
          <w:rFonts w:ascii="Times New Roman" w:hAnsi="Times New Roman" w:cs="Times New Roman"/>
          <w:i/>
        </w:rPr>
        <w:t xml:space="preserve">канд. </w:t>
      </w:r>
      <w:proofErr w:type="spellStart"/>
      <w:r w:rsidRPr="009D1220">
        <w:rPr>
          <w:rFonts w:ascii="Times New Roman" w:hAnsi="Times New Roman" w:cs="Times New Roman"/>
          <w:i/>
        </w:rPr>
        <w:t>экон</w:t>
      </w:r>
      <w:proofErr w:type="spellEnd"/>
      <w:r w:rsidRPr="009D1220">
        <w:rPr>
          <w:rFonts w:ascii="Times New Roman" w:hAnsi="Times New Roman" w:cs="Times New Roman"/>
          <w:i/>
        </w:rPr>
        <w:t>. наук, доцент, Белорусский государственный университет (Минск, Беларусь)</w:t>
      </w:r>
    </w:p>
    <w:p w:rsidR="008F4BC9" w:rsidRPr="009D1220" w:rsidRDefault="008F4BC9" w:rsidP="008F4BC9">
      <w:pPr>
        <w:spacing w:after="0" w:line="240" w:lineRule="auto"/>
        <w:jc w:val="center"/>
        <w:rPr>
          <w:rFonts w:ascii="Times New Roman" w:hAnsi="Times New Roman" w:cs="Times New Roman"/>
          <w:i/>
        </w:rPr>
      </w:pPr>
    </w:p>
    <w:p w:rsidR="008F4BC9" w:rsidRPr="00602367" w:rsidRDefault="008F4BC9" w:rsidP="008F4BC9">
      <w:pPr>
        <w:spacing w:after="0" w:line="240" w:lineRule="auto"/>
        <w:ind w:firstLine="567"/>
        <w:jc w:val="both"/>
        <w:rPr>
          <w:rFonts w:ascii="Times New Roman" w:hAnsi="Times New Roman" w:cs="Times New Roman"/>
          <w:sz w:val="20"/>
          <w:szCs w:val="20"/>
        </w:rPr>
      </w:pPr>
      <w:r w:rsidRPr="00602367">
        <w:rPr>
          <w:rFonts w:ascii="Times New Roman" w:hAnsi="Times New Roman" w:cs="Times New Roman"/>
          <w:b/>
          <w:sz w:val="20"/>
          <w:szCs w:val="20"/>
        </w:rPr>
        <w:t xml:space="preserve">Аннотация. </w:t>
      </w:r>
      <w:r w:rsidRPr="00602367">
        <w:rPr>
          <w:rFonts w:ascii="Times New Roman" w:hAnsi="Times New Roman" w:cs="Times New Roman"/>
          <w:sz w:val="20"/>
          <w:szCs w:val="20"/>
        </w:rPr>
        <w:t>В статье рассмотрена динамика развития основных сегментов финансового рынка Республики Беларусь за последние 3 года.  Выявлены и пояснены основные тенденции его развития, разработаны предложения улучшению ситуации, в частности, путем разработки мероприятий по привлечению средств физических лиц на рынок корпоративных ценных бумаг.</w:t>
      </w:r>
    </w:p>
    <w:p w:rsidR="008F4BC9" w:rsidRPr="00602367" w:rsidRDefault="008F4BC9" w:rsidP="008F4BC9">
      <w:pPr>
        <w:spacing w:after="0" w:line="240" w:lineRule="auto"/>
        <w:ind w:firstLine="567"/>
        <w:jc w:val="both"/>
        <w:rPr>
          <w:rFonts w:ascii="Times New Roman" w:hAnsi="Times New Roman" w:cs="Times New Roman"/>
          <w:sz w:val="20"/>
          <w:szCs w:val="20"/>
          <w:lang w:val="en-US"/>
        </w:rPr>
      </w:pPr>
      <w:r w:rsidRPr="00602367">
        <w:rPr>
          <w:rFonts w:ascii="Times New Roman" w:hAnsi="Times New Roman" w:cs="Times New Roman"/>
          <w:b/>
          <w:sz w:val="20"/>
          <w:szCs w:val="20"/>
          <w:lang w:val="en-US"/>
        </w:rPr>
        <w:t>The summary</w:t>
      </w:r>
      <w:r w:rsidRPr="00602367">
        <w:rPr>
          <w:rFonts w:ascii="Times New Roman" w:hAnsi="Times New Roman" w:cs="Times New Roman"/>
          <w:sz w:val="20"/>
          <w:szCs w:val="20"/>
          <w:lang w:val="en-US"/>
        </w:rPr>
        <w:t xml:space="preserve">. In article, dynamics of development of the basic segments of the financial market of Byelorussia for last 3 years is considered. The basic tendencies of its development </w:t>
      </w:r>
      <w:proofErr w:type="gramStart"/>
      <w:r w:rsidRPr="00602367">
        <w:rPr>
          <w:rFonts w:ascii="Times New Roman" w:hAnsi="Times New Roman" w:cs="Times New Roman"/>
          <w:sz w:val="20"/>
          <w:szCs w:val="20"/>
          <w:lang w:val="en-US"/>
        </w:rPr>
        <w:t>are revealed</w:t>
      </w:r>
      <w:proofErr w:type="gramEnd"/>
      <w:r w:rsidRPr="00602367">
        <w:rPr>
          <w:rFonts w:ascii="Times New Roman" w:hAnsi="Times New Roman" w:cs="Times New Roman"/>
          <w:sz w:val="20"/>
          <w:szCs w:val="20"/>
          <w:lang w:val="en-US"/>
        </w:rPr>
        <w:t xml:space="preserve"> and explained, offers to improvement of a situation, in particular, by development of actions on attraction of means of physical persons on the market of corporate securities are developed.</w:t>
      </w:r>
    </w:p>
    <w:p w:rsidR="008F4BC9" w:rsidRDefault="008F4BC9" w:rsidP="008F4BC9">
      <w:pPr>
        <w:spacing w:after="0" w:line="240" w:lineRule="auto"/>
        <w:ind w:firstLine="567"/>
        <w:jc w:val="both"/>
        <w:rPr>
          <w:rFonts w:ascii="Times New Roman" w:hAnsi="Times New Roman" w:cs="Times New Roman"/>
          <w:lang w:val="en-US"/>
        </w:rPr>
      </w:pPr>
    </w:p>
    <w:p w:rsidR="008F4BC9" w:rsidRPr="002B4839" w:rsidRDefault="008F4BC9" w:rsidP="008F4BC9">
      <w:pPr>
        <w:spacing w:after="0" w:line="240" w:lineRule="auto"/>
        <w:ind w:firstLine="567"/>
        <w:jc w:val="both"/>
        <w:rPr>
          <w:rFonts w:ascii="Times New Roman" w:hAnsi="Times New Roman" w:cs="Times New Roman"/>
        </w:rPr>
      </w:pPr>
      <w:r w:rsidRPr="002B4839">
        <w:rPr>
          <w:rFonts w:ascii="Times New Roman" w:hAnsi="Times New Roman" w:cs="Times New Roman"/>
        </w:rPr>
        <w:t>В экономической литературе приводится немало определений понятия «финансовый рынок» и, соответственно, точек зрения на его структуру. Наиболее соответствующим современны</w:t>
      </w:r>
      <w:r>
        <w:rPr>
          <w:rFonts w:ascii="Times New Roman" w:hAnsi="Times New Roman" w:cs="Times New Roman"/>
        </w:rPr>
        <w:t>м реалиям нам представляется</w:t>
      </w:r>
      <w:r w:rsidRPr="002B4839">
        <w:rPr>
          <w:rFonts w:ascii="Times New Roman" w:hAnsi="Times New Roman" w:cs="Times New Roman"/>
        </w:rPr>
        <w:t xml:space="preserve"> определение</w:t>
      </w:r>
      <w:r w:rsidRPr="009D1220">
        <w:rPr>
          <w:rFonts w:ascii="Times New Roman" w:hAnsi="Times New Roman" w:cs="Times New Roman"/>
        </w:rPr>
        <w:t xml:space="preserve"> его</w:t>
      </w:r>
      <w:r w:rsidRPr="002B4839">
        <w:rPr>
          <w:rFonts w:ascii="Times New Roman" w:hAnsi="Times New Roman" w:cs="Times New Roman"/>
        </w:rPr>
        <w:t xml:space="preserve"> как сферы перераспределения свободных финансовых ресурсов между различными субъектами экономики путем совершения сделок с финансовыми инструментами, а наиболее логичная его структ</w:t>
      </w:r>
      <w:r>
        <w:rPr>
          <w:rFonts w:ascii="Times New Roman" w:hAnsi="Times New Roman" w:cs="Times New Roman"/>
        </w:rPr>
        <w:t>ура представлена на рисунке 1</w:t>
      </w:r>
      <w:r w:rsidRPr="002B4839">
        <w:rPr>
          <w:rFonts w:ascii="Times New Roman" w:hAnsi="Times New Roman" w:cs="Times New Roman"/>
        </w:rPr>
        <w:t>:</w:t>
      </w:r>
    </w:p>
    <w:p w:rsidR="008F4BC9" w:rsidRDefault="008F4BC9" w:rsidP="008F4BC9">
      <w:pPr>
        <w:rPr>
          <w:rFonts w:ascii="Times New Roman" w:hAnsi="Times New Roman" w:cs="Times New Roman"/>
          <w:sz w:val="24"/>
          <w:szCs w:val="24"/>
        </w:rPr>
      </w:pPr>
      <w:r w:rsidRPr="008447B6">
        <w:rPr>
          <w:rFonts w:ascii="Times New Roman" w:hAnsi="Times New Roman" w:cs="Times New Roman"/>
          <w:noProof/>
          <w:sz w:val="24"/>
          <w:szCs w:val="24"/>
          <w:lang w:eastAsia="ru-RU"/>
          <w14:textOutline w14:w="9525" w14:cap="rnd" w14:cmpd="sng" w14:algn="ctr">
            <w14:solidFill>
              <w14:srgbClr w14:val="000000">
                <w14:alpha w14:val="57000"/>
              </w14:srgbClr>
            </w14:solidFill>
            <w14:prstDash w14:val="solid"/>
            <w14:bevel/>
          </w14:textOutline>
        </w:rPr>
        <mc:AlternateContent>
          <mc:Choice Requires="wpg">
            <w:drawing>
              <wp:anchor distT="0" distB="0" distL="114300" distR="114300" simplePos="0" relativeHeight="251659264" behindDoc="0" locked="0" layoutInCell="1" allowOverlap="1" wp14:anchorId="3CC8321B" wp14:editId="6736F75E">
                <wp:simplePos x="0" y="0"/>
                <wp:positionH relativeFrom="column">
                  <wp:posOffset>34290</wp:posOffset>
                </wp:positionH>
                <wp:positionV relativeFrom="paragraph">
                  <wp:posOffset>184150</wp:posOffset>
                </wp:positionV>
                <wp:extent cx="5734050" cy="3724275"/>
                <wp:effectExtent l="0" t="0" r="19050" b="285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3724275"/>
                          <a:chOff x="1005" y="4500"/>
                          <a:chExt cx="10248" cy="6305"/>
                        </a:xfrm>
                      </wpg:grpSpPr>
                      <wps:wsp>
                        <wps:cNvPr id="3" name="Rectangle 4"/>
                        <wps:cNvSpPr>
                          <a:spLocks noChangeArrowheads="1"/>
                        </wps:cNvSpPr>
                        <wps:spPr bwMode="auto">
                          <a:xfrm>
                            <a:off x="3669" y="4500"/>
                            <a:ext cx="4728" cy="585"/>
                          </a:xfrm>
                          <a:prstGeom prst="rect">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Финансовый рынок</w:t>
                              </w:r>
                            </w:p>
                          </w:txbxContent>
                        </wps:txbx>
                        <wps:bodyPr rot="0" vert="horz" wrap="square" lIns="91440" tIns="45720" rIns="91440" bIns="45720" anchor="ctr" anchorCtr="0" upright="1">
                          <a:noAutofit/>
                        </wps:bodyPr>
                      </wps:wsp>
                      <wps:wsp>
                        <wps:cNvPr id="4" name="AutoShape 5"/>
                        <wps:cNvSpPr>
                          <a:spLocks noChangeArrowheads="1"/>
                        </wps:cNvSpPr>
                        <wps:spPr bwMode="auto">
                          <a:xfrm>
                            <a:off x="4005" y="5605"/>
                            <a:ext cx="2040" cy="637"/>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капитала</w:t>
                              </w:r>
                            </w:p>
                          </w:txbxContent>
                        </wps:txbx>
                        <wps:bodyPr rot="0" vert="horz" wrap="square" lIns="91440" tIns="45720" rIns="91440" bIns="45720" anchor="t" anchorCtr="0" upright="1">
                          <a:noAutofit/>
                        </wps:bodyPr>
                      </wps:wsp>
                      <wps:wsp>
                        <wps:cNvPr id="5" name="AutoShape 6"/>
                        <wps:cNvSpPr>
                          <a:spLocks noChangeArrowheads="1"/>
                        </wps:cNvSpPr>
                        <wps:spPr bwMode="auto">
                          <a:xfrm>
                            <a:off x="1317" y="5578"/>
                            <a:ext cx="2256" cy="631"/>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Валютный рынок</w:t>
                              </w:r>
                            </w:p>
                          </w:txbxContent>
                        </wps:txbx>
                        <wps:bodyPr rot="0" vert="horz" wrap="square" lIns="91440" tIns="45720" rIns="91440" bIns="45720" anchor="t" anchorCtr="0" upright="1">
                          <a:noAutofit/>
                        </wps:bodyPr>
                      </wps:wsp>
                      <wps:wsp>
                        <wps:cNvPr id="6" name="AutoShape 7"/>
                        <wps:cNvSpPr>
                          <a:spLocks noChangeArrowheads="1"/>
                        </wps:cNvSpPr>
                        <wps:spPr bwMode="auto">
                          <a:xfrm>
                            <a:off x="6501" y="5605"/>
                            <a:ext cx="2184" cy="556"/>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золота</w:t>
                              </w:r>
                            </w:p>
                          </w:txbxContent>
                        </wps:txbx>
                        <wps:bodyPr rot="0" vert="horz" wrap="square" lIns="91440" tIns="45720" rIns="91440" bIns="45720" anchor="t" anchorCtr="0" upright="1">
                          <a:noAutofit/>
                        </wps:bodyPr>
                      </wps:wsp>
                      <wps:wsp>
                        <wps:cNvPr id="7" name="AutoShape 8"/>
                        <wps:cNvSpPr>
                          <a:spLocks noChangeArrowheads="1"/>
                        </wps:cNvSpPr>
                        <wps:spPr bwMode="auto">
                          <a:xfrm>
                            <a:off x="9069" y="5605"/>
                            <a:ext cx="1920" cy="637"/>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pStyle w:val="2"/>
                                <w:spacing w:line="240" w:lineRule="auto"/>
                                <w:jc w:val="center"/>
                                <w:rPr>
                                  <w:iCs/>
                                  <w:sz w:val="18"/>
                                  <w:szCs w:val="18"/>
                                </w:rPr>
                              </w:pPr>
                              <w:r w:rsidRPr="009D1220">
                                <w:rPr>
                                  <w:iCs/>
                                  <w:sz w:val="18"/>
                                  <w:szCs w:val="18"/>
                                </w:rPr>
                                <w:t>Денежный рынок</w:t>
                              </w:r>
                            </w:p>
                          </w:txbxContent>
                        </wps:txbx>
                        <wps:bodyPr rot="0" vert="horz" wrap="square" lIns="91440" tIns="45720" rIns="91440" bIns="45720" anchor="t" anchorCtr="0" upright="1">
                          <a:noAutofit/>
                        </wps:bodyPr>
                      </wps:wsp>
                      <wps:wsp>
                        <wps:cNvPr id="8" name="AutoShape 9"/>
                        <wps:cNvSpPr>
                          <a:spLocks noChangeArrowheads="1"/>
                        </wps:cNvSpPr>
                        <wps:spPr bwMode="auto">
                          <a:xfrm>
                            <a:off x="7725" y="6822"/>
                            <a:ext cx="2952" cy="798"/>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межбанковских кредитов</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7749" y="7982"/>
                            <a:ext cx="2904" cy="585"/>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евровалют</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7797" y="8985"/>
                            <a:ext cx="2928" cy="804"/>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pStyle w:val="2"/>
                                <w:spacing w:line="240" w:lineRule="auto"/>
                                <w:jc w:val="center"/>
                                <w:rPr>
                                  <w:iCs/>
                                  <w:sz w:val="18"/>
                                  <w:szCs w:val="18"/>
                                </w:rPr>
                              </w:pPr>
                              <w:r w:rsidRPr="009D1220">
                                <w:rPr>
                                  <w:iCs/>
                                  <w:sz w:val="18"/>
                                  <w:szCs w:val="18"/>
                                </w:rPr>
                                <w:t>Рынок депозитных сертификатов</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7797" y="10155"/>
                            <a:ext cx="2928" cy="650"/>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Дисконтный рынок</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1285" y="6905"/>
                            <a:ext cx="3128" cy="675"/>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pStyle w:val="2"/>
                                <w:spacing w:line="240" w:lineRule="auto"/>
                                <w:jc w:val="center"/>
                                <w:rPr>
                                  <w:iCs/>
                                  <w:sz w:val="18"/>
                                  <w:szCs w:val="18"/>
                                </w:rPr>
                              </w:pPr>
                              <w:r w:rsidRPr="009D1220">
                                <w:rPr>
                                  <w:iCs/>
                                  <w:sz w:val="18"/>
                                  <w:szCs w:val="18"/>
                                </w:rPr>
                                <w:t>Рынок ссудного капитала</w:t>
                              </w:r>
                            </w:p>
                          </w:txbxContent>
                        </wps:txbx>
                        <wps:bodyPr rot="0" vert="horz" wrap="square" lIns="91440" tIns="45720" rIns="91440" bIns="45720" anchor="t" anchorCtr="0" upright="1">
                          <a:noAutofit/>
                        </wps:bodyPr>
                      </wps:wsp>
                      <wps:wsp>
                        <wps:cNvPr id="13" name="AutoShape 14"/>
                        <wps:cNvSpPr>
                          <a:spLocks noChangeArrowheads="1"/>
                        </wps:cNvSpPr>
                        <wps:spPr bwMode="auto">
                          <a:xfrm>
                            <a:off x="4677" y="6877"/>
                            <a:ext cx="2472" cy="784"/>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pStyle w:val="2"/>
                                <w:spacing w:line="240" w:lineRule="auto"/>
                                <w:jc w:val="center"/>
                                <w:rPr>
                                  <w:sz w:val="18"/>
                                  <w:szCs w:val="18"/>
                                </w:rPr>
                              </w:pPr>
                              <w:r w:rsidRPr="009D1220">
                                <w:rPr>
                                  <w:iCs/>
                                  <w:sz w:val="18"/>
                                  <w:szCs w:val="18"/>
                                </w:rPr>
                                <w:t>Рынок долевых</w:t>
                              </w:r>
                              <w:r w:rsidRPr="009D1220">
                                <w:rPr>
                                  <w:sz w:val="18"/>
                                  <w:szCs w:val="18"/>
                                </w:rPr>
                                <w:t xml:space="preserve"> </w:t>
                              </w:r>
                              <w:r w:rsidRPr="009D1220">
                                <w:rPr>
                                  <w:iCs/>
                                  <w:sz w:val="18"/>
                                  <w:szCs w:val="18"/>
                                </w:rPr>
                                <w:t>ценных бумаг</w:t>
                              </w:r>
                            </w:p>
                          </w:txbxContent>
                        </wps:txbx>
                        <wps:bodyPr rot="0" vert="horz" wrap="square" lIns="91440" tIns="45720" rIns="91440" bIns="45720" anchor="t" anchorCtr="0" upright="1">
                          <a:noAutofit/>
                        </wps:bodyPr>
                      </wps:wsp>
                      <wps:wsp>
                        <wps:cNvPr id="14" name="AutoShape 15"/>
                        <wps:cNvSpPr>
                          <a:spLocks noChangeArrowheads="1"/>
                        </wps:cNvSpPr>
                        <wps:spPr bwMode="auto">
                          <a:xfrm>
                            <a:off x="1005" y="8400"/>
                            <a:ext cx="1920" cy="760"/>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банковских ссуд</w:t>
                              </w:r>
                            </w:p>
                          </w:txbxContent>
                        </wps:txbx>
                        <wps:bodyPr rot="0" vert="horz" wrap="square" lIns="91440" tIns="45720" rIns="91440" bIns="45720" anchor="t" anchorCtr="0" upright="1">
                          <a:noAutofit/>
                        </wps:bodyPr>
                      </wps:wsp>
                      <wps:wsp>
                        <wps:cNvPr id="15" name="AutoShape 16"/>
                        <wps:cNvSpPr>
                          <a:spLocks noChangeArrowheads="1"/>
                        </wps:cNvSpPr>
                        <wps:spPr bwMode="auto">
                          <a:xfrm>
                            <a:off x="3213" y="8465"/>
                            <a:ext cx="2269" cy="744"/>
                          </a:xfrm>
                          <a:prstGeom prst="flowChartProcess">
                            <a:avLst/>
                          </a:prstGeom>
                          <a:solidFill>
                            <a:srgbClr val="FFFFFF"/>
                          </a:solidFill>
                          <a:ln w="9525">
                            <a:solidFill>
                              <a:srgbClr val="000000"/>
                            </a:solidFill>
                            <a:miter lim="800000"/>
                            <a:headEnd/>
                            <a:tailEnd/>
                          </a:ln>
                        </wps:spPr>
                        <wps:txbx>
                          <w:txbxContent>
                            <w:p w:rsidR="008F4BC9" w:rsidRPr="009D1220" w:rsidRDefault="008F4BC9" w:rsidP="008F4BC9">
                              <w:pPr>
                                <w:pStyle w:val="2"/>
                                <w:spacing w:line="240" w:lineRule="auto"/>
                                <w:jc w:val="center"/>
                                <w:rPr>
                                  <w:iCs/>
                                  <w:sz w:val="18"/>
                                  <w:szCs w:val="18"/>
                                </w:rPr>
                              </w:pPr>
                              <w:r w:rsidRPr="009D1220">
                                <w:rPr>
                                  <w:iCs/>
                                  <w:sz w:val="18"/>
                                  <w:szCs w:val="18"/>
                                </w:rPr>
                                <w:t>Рынок долговых ценных</w:t>
                              </w:r>
                              <w:r w:rsidRPr="009D1220">
                                <w:rPr>
                                  <w:sz w:val="18"/>
                                  <w:szCs w:val="18"/>
                                </w:rPr>
                                <w:t xml:space="preserve"> </w:t>
                              </w:r>
                              <w:r w:rsidRPr="009D1220">
                                <w:rPr>
                                  <w:iCs/>
                                  <w:sz w:val="18"/>
                                  <w:szCs w:val="18"/>
                                </w:rPr>
                                <w:t>бумаг</w:t>
                              </w:r>
                            </w:p>
                          </w:txbxContent>
                        </wps:txbx>
                        <wps:bodyPr rot="0" vert="horz" wrap="square" lIns="91440" tIns="45720" rIns="91440" bIns="45720" anchor="t" anchorCtr="0" upright="1">
                          <a:noAutofit/>
                        </wps:bodyPr>
                      </wps:wsp>
                      <wps:wsp>
                        <wps:cNvPr id="16" name="Line 17"/>
                        <wps:cNvCnPr>
                          <a:cxnSpLocks noChangeShapeType="1"/>
                        </wps:cNvCnPr>
                        <wps:spPr bwMode="auto">
                          <a:xfrm>
                            <a:off x="7581" y="5085"/>
                            <a:ext cx="0" cy="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8181" y="5085"/>
                            <a:ext cx="1800" cy="4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0989" y="5865"/>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1229" y="5838"/>
                            <a:ext cx="0" cy="4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10701" y="10582"/>
                            <a:ext cx="5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10725" y="9282"/>
                            <a:ext cx="5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H="1">
                            <a:off x="10653" y="8242"/>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H="1">
                            <a:off x="10677" y="7267"/>
                            <a:ext cx="5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5253" y="5085"/>
                            <a:ext cx="0" cy="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a:off x="2205" y="5085"/>
                            <a:ext cx="1704" cy="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4992" y="6321"/>
                            <a:ext cx="1704" cy="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3140" y="6338"/>
                            <a:ext cx="1896" cy="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H="1">
                            <a:off x="1917" y="7620"/>
                            <a:ext cx="1344" cy="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3261" y="7604"/>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C8321B" id="Группа 2" o:spid="_x0000_s1026" style="position:absolute;margin-left:2.7pt;margin-top:14.5pt;width:451.5pt;height:293.25pt;z-index:251659264" coordorigin="1005,4500" coordsize="10248,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">
                <v:rect id="Rectangle 4" o:spid="_x0000_s1027" style="position:absolute;left:3669;top:4500;width:4728;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4TxAAAANoAAAAPAAAAZHJzL2Rvd25yZXYueG1sRI9Ba8JA&#10;FITvhf6H5RW8SN1YQU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GEA7hPEAAAA2gAAAA8A&#10;AAAAAAAAAAAAAAAABwIAAGRycy9kb3ducmV2LnhtbFBLBQYAAAAAAwADALcAAAD4Ag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Финансовый рынок</w:t>
                        </w:r>
                      </w:p>
                    </w:txbxContent>
                  </v:textbox>
                </v:rect>
                <v:shapetype id="_x0000_t109" coordsize="21600,21600" o:spt="109" path="m,l,21600r21600,l21600,xe">
                  <v:stroke joinstyle="miter"/>
                  <v:path gradientshapeok="t" o:connecttype="rect"/>
                </v:shapetype>
                <v:shape id="AutoShape 5" o:spid="_x0000_s1028" type="#_x0000_t109" style="position:absolute;left:4005;top:5605;width:204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капитала</w:t>
                        </w:r>
                      </w:p>
                    </w:txbxContent>
                  </v:textbox>
                </v:shape>
                <v:shape id="AutoShape 6" o:spid="_x0000_s1029" type="#_x0000_t109" style="position:absolute;left:1317;top:5578;width:2256;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Валютный рынок</w:t>
                        </w:r>
                      </w:p>
                    </w:txbxContent>
                  </v:textbox>
                </v:shape>
                <v:shape id="AutoShape 7" o:spid="_x0000_s1030" type="#_x0000_t109" style="position:absolute;left:6501;top:5605;width:2184;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золота</w:t>
                        </w:r>
                      </w:p>
                    </w:txbxContent>
                  </v:textbox>
                </v:shape>
                <v:shape id="AutoShape 8" o:spid="_x0000_s1031" type="#_x0000_t109" style="position:absolute;left:9069;top:5605;width:192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8F4BC9" w:rsidRPr="009D1220" w:rsidRDefault="008F4BC9" w:rsidP="008F4BC9">
                        <w:pPr>
                          <w:pStyle w:val="2"/>
                          <w:spacing w:line="240" w:lineRule="auto"/>
                          <w:jc w:val="center"/>
                          <w:rPr>
                            <w:iCs/>
                            <w:sz w:val="18"/>
                            <w:szCs w:val="18"/>
                          </w:rPr>
                        </w:pPr>
                        <w:r w:rsidRPr="009D1220">
                          <w:rPr>
                            <w:iCs/>
                            <w:sz w:val="18"/>
                            <w:szCs w:val="18"/>
                          </w:rPr>
                          <w:t>Денежный рынок</w:t>
                        </w:r>
                      </w:p>
                    </w:txbxContent>
                  </v:textbox>
                </v:shape>
                <v:shape id="AutoShape 9" o:spid="_x0000_s1032" type="#_x0000_t109" style="position:absolute;left:7725;top:6822;width:295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межбанковских кредитов</w:t>
                        </w:r>
                      </w:p>
                    </w:txbxContent>
                  </v:textbox>
                </v:shape>
                <v:shape id="AutoShape 10" o:spid="_x0000_s1033" type="#_x0000_t109" style="position:absolute;left:7749;top:7982;width:29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евровалют</w:t>
                        </w:r>
                      </w:p>
                    </w:txbxContent>
                  </v:textbox>
                </v:shape>
                <v:shape id="AutoShape 11" o:spid="_x0000_s1034" type="#_x0000_t109" style="position:absolute;left:7797;top:8985;width:2928;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8F4BC9" w:rsidRPr="009D1220" w:rsidRDefault="008F4BC9" w:rsidP="008F4BC9">
                        <w:pPr>
                          <w:pStyle w:val="2"/>
                          <w:spacing w:line="240" w:lineRule="auto"/>
                          <w:jc w:val="center"/>
                          <w:rPr>
                            <w:iCs/>
                            <w:sz w:val="18"/>
                            <w:szCs w:val="18"/>
                          </w:rPr>
                        </w:pPr>
                        <w:r w:rsidRPr="009D1220">
                          <w:rPr>
                            <w:iCs/>
                            <w:sz w:val="18"/>
                            <w:szCs w:val="18"/>
                          </w:rPr>
                          <w:t>Рынок депозитных сертификатов</w:t>
                        </w:r>
                      </w:p>
                    </w:txbxContent>
                  </v:textbox>
                </v:shape>
                <v:shape id="AutoShape 12" o:spid="_x0000_s1035" type="#_x0000_t109" style="position:absolute;left:7797;top:10155;width:2928;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Дисконтный рынок</w:t>
                        </w:r>
                      </w:p>
                    </w:txbxContent>
                  </v:textbox>
                </v:shape>
                <v:shape id="AutoShape 13" o:spid="_x0000_s1036" type="#_x0000_t109" style="position:absolute;left:1285;top:6905;width:3128;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8F4BC9" w:rsidRPr="009D1220" w:rsidRDefault="008F4BC9" w:rsidP="008F4BC9">
                        <w:pPr>
                          <w:pStyle w:val="2"/>
                          <w:spacing w:line="240" w:lineRule="auto"/>
                          <w:jc w:val="center"/>
                          <w:rPr>
                            <w:iCs/>
                            <w:sz w:val="18"/>
                            <w:szCs w:val="18"/>
                          </w:rPr>
                        </w:pPr>
                        <w:r w:rsidRPr="009D1220">
                          <w:rPr>
                            <w:iCs/>
                            <w:sz w:val="18"/>
                            <w:szCs w:val="18"/>
                          </w:rPr>
                          <w:t>Рынок ссудного капитала</w:t>
                        </w:r>
                      </w:p>
                    </w:txbxContent>
                  </v:textbox>
                </v:shape>
                <v:shape id="AutoShape 14" o:spid="_x0000_s1037" type="#_x0000_t109" style="position:absolute;left:4677;top:6877;width:2472;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rsidR="008F4BC9" w:rsidRPr="009D1220" w:rsidRDefault="008F4BC9" w:rsidP="008F4BC9">
                        <w:pPr>
                          <w:pStyle w:val="2"/>
                          <w:spacing w:line="240" w:lineRule="auto"/>
                          <w:jc w:val="center"/>
                          <w:rPr>
                            <w:sz w:val="18"/>
                            <w:szCs w:val="18"/>
                          </w:rPr>
                        </w:pPr>
                        <w:r w:rsidRPr="009D1220">
                          <w:rPr>
                            <w:iCs/>
                            <w:sz w:val="18"/>
                            <w:szCs w:val="18"/>
                          </w:rPr>
                          <w:t>Рынок долевых</w:t>
                        </w:r>
                        <w:r w:rsidRPr="009D1220">
                          <w:rPr>
                            <w:sz w:val="18"/>
                            <w:szCs w:val="18"/>
                          </w:rPr>
                          <w:t xml:space="preserve"> </w:t>
                        </w:r>
                        <w:r w:rsidRPr="009D1220">
                          <w:rPr>
                            <w:iCs/>
                            <w:sz w:val="18"/>
                            <w:szCs w:val="18"/>
                          </w:rPr>
                          <w:t>ценных бумаг</w:t>
                        </w:r>
                      </w:p>
                    </w:txbxContent>
                  </v:textbox>
                </v:shape>
                <v:shape id="AutoShape 15" o:spid="_x0000_s1038" type="#_x0000_t109" style="position:absolute;left:1005;top:8400;width:192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rsidR="008F4BC9" w:rsidRPr="009D1220" w:rsidRDefault="008F4BC9" w:rsidP="008F4BC9">
                        <w:pPr>
                          <w:jc w:val="center"/>
                          <w:rPr>
                            <w:rFonts w:ascii="Times New Roman" w:hAnsi="Times New Roman" w:cs="Times New Roman"/>
                            <w:sz w:val="18"/>
                            <w:szCs w:val="18"/>
                          </w:rPr>
                        </w:pPr>
                        <w:r w:rsidRPr="009D1220">
                          <w:rPr>
                            <w:rFonts w:ascii="Times New Roman" w:hAnsi="Times New Roman" w:cs="Times New Roman"/>
                            <w:sz w:val="18"/>
                            <w:szCs w:val="18"/>
                          </w:rPr>
                          <w:t>Рынок банковских ссуд</w:t>
                        </w:r>
                      </w:p>
                    </w:txbxContent>
                  </v:textbox>
                </v:shape>
                <v:shape id="AutoShape 16" o:spid="_x0000_s1039" type="#_x0000_t109" style="position:absolute;left:3213;top:8465;width:2269;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8F4BC9" w:rsidRPr="009D1220" w:rsidRDefault="008F4BC9" w:rsidP="008F4BC9">
                        <w:pPr>
                          <w:pStyle w:val="2"/>
                          <w:spacing w:line="240" w:lineRule="auto"/>
                          <w:jc w:val="center"/>
                          <w:rPr>
                            <w:iCs/>
                            <w:sz w:val="18"/>
                            <w:szCs w:val="18"/>
                          </w:rPr>
                        </w:pPr>
                        <w:r w:rsidRPr="009D1220">
                          <w:rPr>
                            <w:iCs/>
                            <w:sz w:val="18"/>
                            <w:szCs w:val="18"/>
                          </w:rPr>
                          <w:t>Рынок долговых ценных</w:t>
                        </w:r>
                        <w:r w:rsidRPr="009D1220">
                          <w:rPr>
                            <w:sz w:val="18"/>
                            <w:szCs w:val="18"/>
                          </w:rPr>
                          <w:t xml:space="preserve"> </w:t>
                        </w:r>
                        <w:r w:rsidRPr="009D1220">
                          <w:rPr>
                            <w:iCs/>
                            <w:sz w:val="18"/>
                            <w:szCs w:val="18"/>
                          </w:rPr>
                          <w:t>бумаг</w:t>
                        </w:r>
                      </w:p>
                    </w:txbxContent>
                  </v:textbox>
                </v:shape>
                <v:line id="Line 17" o:spid="_x0000_s1040" style="position:absolute;visibility:visible;mso-wrap-style:square" from="7581,5085" to="7581,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41" style="position:absolute;visibility:visible;mso-wrap-style:square" from="8181,5085" to="9981,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9" o:spid="_x0000_s1042" style="position:absolute;visibility:visible;mso-wrap-style:square" from="10989,5865" to="1122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3" style="position:absolute;visibility:visible;mso-wrap-style:square" from="11229,5838" to="11229,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4" style="position:absolute;flip:x;visibility:visible;mso-wrap-style:square" from="10701,10582" to="11253,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5" style="position:absolute;flip:x;visibility:visible;mso-wrap-style:square" from="10725,9282" to="11229,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3" o:spid="_x0000_s1046" style="position:absolute;flip:x;visibility:visible;mso-wrap-style:square" from="10653,8242" to="11229,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4" o:spid="_x0000_s1047" style="position:absolute;flip:x;visibility:visible;mso-wrap-style:square" from="10677,7267" to="11229,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5" o:spid="_x0000_s1048" style="position:absolute;visibility:visible;mso-wrap-style:square" from="5253,5085" to="5253,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6" o:spid="_x0000_s1049" style="position:absolute;flip:x;visibility:visible;mso-wrap-style:square" from="2205,5085" to="3909,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7" o:spid="_x0000_s1050" style="position:absolute;visibility:visible;mso-wrap-style:square" from="4992,6321" to="6696,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8" o:spid="_x0000_s1051" style="position:absolute;flip:x;visibility:visible;mso-wrap-style:square" from="3140,6338" to="5036,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9" o:spid="_x0000_s1052" style="position:absolute;flip:x;visibility:visible;mso-wrap-style:square" from="1917,7620" to="3261,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0" o:spid="_x0000_s1053" style="position:absolute;visibility:visible;mso-wrap-style:square" from="3261,7604" to="4101,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w:pict>
          </mc:Fallback>
        </mc:AlternateContent>
      </w:r>
    </w:p>
    <w:p w:rsidR="008F4BC9" w:rsidRPr="008447B6" w:rsidRDefault="008F4BC9" w:rsidP="008F4BC9">
      <w:pPr>
        <w:rPr>
          <w:rFonts w:ascii="Times New Roman" w:hAnsi="Times New Roman" w:cs="Times New Roman"/>
          <w:sz w:val="24"/>
          <w:szCs w:val="24"/>
        </w:rPr>
      </w:pPr>
    </w:p>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 w:rsidR="008F4BC9" w:rsidRDefault="008F4BC9" w:rsidP="008F4BC9">
      <w:pPr>
        <w:spacing w:after="0" w:line="240" w:lineRule="auto"/>
        <w:jc w:val="center"/>
        <w:rPr>
          <w:rFonts w:ascii="Times New Roman" w:hAnsi="Times New Roman" w:cs="Times New Roman"/>
          <w:b/>
          <w:sz w:val="18"/>
          <w:szCs w:val="18"/>
        </w:rPr>
      </w:pPr>
      <w:r w:rsidRPr="009D1220">
        <w:rPr>
          <w:rFonts w:ascii="Times New Roman" w:hAnsi="Times New Roman" w:cs="Times New Roman"/>
          <w:b/>
          <w:sz w:val="18"/>
          <w:szCs w:val="18"/>
        </w:rPr>
        <w:t>Рисунок</w:t>
      </w:r>
      <w:r>
        <w:rPr>
          <w:rFonts w:ascii="Times New Roman" w:hAnsi="Times New Roman" w:cs="Times New Roman"/>
          <w:b/>
          <w:sz w:val="18"/>
          <w:szCs w:val="18"/>
        </w:rPr>
        <w:t xml:space="preserve"> 1</w:t>
      </w:r>
      <w:r w:rsidRPr="009D1220">
        <w:rPr>
          <w:rFonts w:ascii="Times New Roman" w:hAnsi="Times New Roman" w:cs="Times New Roman"/>
          <w:b/>
          <w:sz w:val="18"/>
          <w:szCs w:val="18"/>
        </w:rPr>
        <w:t xml:space="preserve"> – Структура финансового рынка</w:t>
      </w:r>
    </w:p>
    <w:p w:rsidR="008F4BC9" w:rsidRPr="00171DD0" w:rsidRDefault="008F4BC9" w:rsidP="008F4BC9">
      <w:pPr>
        <w:spacing w:after="0" w:line="240" w:lineRule="auto"/>
        <w:jc w:val="center"/>
        <w:rPr>
          <w:rFonts w:ascii="Times New Roman" w:hAnsi="Times New Roman" w:cs="Times New Roman"/>
          <w:sz w:val="18"/>
          <w:szCs w:val="18"/>
        </w:rPr>
      </w:pPr>
      <w:r w:rsidRPr="00171DD0">
        <w:rPr>
          <w:rFonts w:ascii="Times New Roman" w:hAnsi="Times New Roman" w:cs="Times New Roman"/>
          <w:sz w:val="18"/>
          <w:szCs w:val="18"/>
        </w:rPr>
        <w:t>Примечание: источник [1</w:t>
      </w:r>
      <w:r>
        <w:rPr>
          <w:rFonts w:ascii="Times New Roman" w:hAnsi="Times New Roman" w:cs="Times New Roman"/>
          <w:sz w:val="18"/>
          <w:szCs w:val="18"/>
        </w:rPr>
        <w:t>, с.48</w:t>
      </w:r>
      <w:r w:rsidRPr="00171DD0">
        <w:rPr>
          <w:rFonts w:ascii="Times New Roman" w:hAnsi="Times New Roman" w:cs="Times New Roman"/>
          <w:sz w:val="18"/>
          <w:szCs w:val="18"/>
        </w:rPr>
        <w:t>]</w:t>
      </w:r>
    </w:p>
    <w:p w:rsidR="008F4BC9" w:rsidRDefault="008F4BC9" w:rsidP="008F4BC9">
      <w:pPr>
        <w:spacing w:after="0" w:line="240" w:lineRule="auto"/>
        <w:ind w:firstLine="567"/>
        <w:jc w:val="both"/>
        <w:rPr>
          <w:rFonts w:ascii="Times New Roman" w:hAnsi="Times New Roman" w:cs="Times New Roman"/>
        </w:rPr>
      </w:pPr>
    </w:p>
    <w:p w:rsidR="008F4BC9" w:rsidRPr="009D1220" w:rsidRDefault="008F4BC9" w:rsidP="008F4BC9">
      <w:pPr>
        <w:spacing w:after="0" w:line="240" w:lineRule="auto"/>
        <w:ind w:firstLine="567"/>
        <w:jc w:val="both"/>
        <w:rPr>
          <w:rFonts w:ascii="Times New Roman" w:hAnsi="Times New Roman" w:cs="Times New Roman"/>
        </w:rPr>
      </w:pPr>
      <w:r w:rsidRPr="009D1220">
        <w:rPr>
          <w:rFonts w:ascii="Times New Roman" w:hAnsi="Times New Roman" w:cs="Times New Roman"/>
        </w:rPr>
        <w:t xml:space="preserve">Кратко остановимся на характеристике основных сегментов финансового рынка. </w:t>
      </w:r>
    </w:p>
    <w:p w:rsidR="008F4BC9" w:rsidRPr="009D1220" w:rsidRDefault="008F4BC9" w:rsidP="008F4BC9">
      <w:pPr>
        <w:spacing w:after="0" w:line="240" w:lineRule="auto"/>
        <w:ind w:firstLine="567"/>
        <w:jc w:val="both"/>
        <w:rPr>
          <w:rFonts w:ascii="Times New Roman" w:hAnsi="Times New Roman" w:cs="Times New Roman"/>
        </w:rPr>
      </w:pPr>
      <w:r w:rsidRPr="009D1220">
        <w:rPr>
          <w:rFonts w:ascii="Times New Roman" w:hAnsi="Times New Roman" w:cs="Times New Roman"/>
        </w:rPr>
        <w:t xml:space="preserve">На валютном рынке товаром являются объекты, имеющие валютную ценность, прежде всего это иностранная валюта и ценные бумаги, номинированные в ней. С нашей точки зрения сюда следует относить также криптовалюты. Рынок золота - это сфера экономических отношений, связанных с куплей-продажей золота как с целью накопления и пополнения золотого запаса страны, так и для промышленного потребления. </w:t>
      </w:r>
    </w:p>
    <w:p w:rsidR="008F4BC9" w:rsidRPr="009D1220" w:rsidRDefault="008F4BC9" w:rsidP="008F4BC9">
      <w:pPr>
        <w:spacing w:after="0" w:line="240" w:lineRule="auto"/>
        <w:ind w:firstLine="567"/>
        <w:jc w:val="both"/>
        <w:rPr>
          <w:rFonts w:ascii="Times New Roman" w:hAnsi="Times New Roman" w:cs="Times New Roman"/>
        </w:rPr>
      </w:pPr>
      <w:r w:rsidRPr="009D1220">
        <w:rPr>
          <w:rFonts w:ascii="Times New Roman" w:hAnsi="Times New Roman" w:cs="Times New Roman"/>
        </w:rPr>
        <w:t xml:space="preserve">На рынке капитала обращаются долгосрочные финансовые инструменты (со сроком обращения более одного года), а на денежном рынке – краткосрочные. Рынок капитала подразделяется на рынок ссудного капитала и рынок долевых ценных бумаг. Рынок долевых ценных бумаг (акций) представлен сертификатами, подтверждающими право их владельца на владение собственностью, на долю в уставном капитале организации, на участие в распределении прибыли и, как правило, на участие в управлении этой организацией. Вопросы владения </w:t>
      </w:r>
      <w:r w:rsidRPr="009D1220">
        <w:rPr>
          <w:rFonts w:ascii="Times New Roman" w:hAnsi="Times New Roman" w:cs="Times New Roman"/>
        </w:rPr>
        <w:lastRenderedPageBreak/>
        <w:t xml:space="preserve">собственностью определяются законодательными актами, а также учредительными документами организации (общества). На рынке ссудного капитала обращаются долгосрочные финансовые инструменты, предоставляемые на условиях срочности, возвратности и платности (банковские ссуды и долгосрочные облигации). </w:t>
      </w:r>
    </w:p>
    <w:p w:rsidR="008F4BC9" w:rsidRDefault="008F4BC9" w:rsidP="008F4BC9">
      <w:pPr>
        <w:spacing w:after="0" w:line="240" w:lineRule="auto"/>
        <w:ind w:firstLine="567"/>
        <w:jc w:val="both"/>
        <w:rPr>
          <w:rFonts w:ascii="Times New Roman" w:hAnsi="Times New Roman" w:cs="Times New Roman"/>
        </w:rPr>
      </w:pPr>
      <w:r w:rsidRPr="009D1220">
        <w:rPr>
          <w:rFonts w:ascii="Times New Roman" w:hAnsi="Times New Roman" w:cs="Times New Roman"/>
        </w:rPr>
        <w:t>Денежный рынок обслуживает движение оборотных капиталов организаций и краткосрочной ликвидности банков и государства. В структуре рынка денежных средств различают несколько сегментов. На рынке межбанковских кредитов коммерческие банки кредитуют друг друга. Межбанковские кредиты предоставляются в форме продажи излишка средств коммерческого банка на резервном счете в центральном банке сверх определенной законом величины обязательных резервов и в форме сделок «РЕПО». На дисконтном рынке продаются и покупаются векселя. Он играет значительную роль в денежно-кредитном регулировании экономики, так как обеспечивает равномерный приток денег в экономику. В настоящее время в Республике Беларусь от практически не функционирует, хотя с недавнего времени предпринимаются меры по восстановлению вексельного обращения во внешнеэкономической деятельности, что является одной из мер стимулирования экспорта продукц</w:t>
      </w:r>
      <w:r>
        <w:rPr>
          <w:rFonts w:ascii="Times New Roman" w:hAnsi="Times New Roman" w:cs="Times New Roman"/>
        </w:rPr>
        <w:t xml:space="preserve">ии отечественных производителей. </w:t>
      </w:r>
      <w:r w:rsidRPr="009D1220">
        <w:rPr>
          <w:rFonts w:ascii="Times New Roman" w:hAnsi="Times New Roman" w:cs="Times New Roman"/>
        </w:rPr>
        <w:t>Рынок евровалют –  часть денежного рынка, на котором осуществляется торговля краткосрочными финансовыми инструментами, номинированными в евровалютах. К евровалютам относятся валюты, переведенные на счета иностранных банков и используемые для операций во всех странах, включая страну-эмитента этой валюты. Примером инструментов, обращающихся на рынках евровалют, являются синдицированные кредиты сроком от 3 до 6 месяцев, предоставляемые синдикатами банков из разных стран в одной из евровалют.</w:t>
      </w:r>
      <w:r>
        <w:rPr>
          <w:rFonts w:ascii="Times New Roman" w:hAnsi="Times New Roman" w:cs="Times New Roman"/>
        </w:rPr>
        <w:t xml:space="preserve"> </w:t>
      </w:r>
      <w:r w:rsidRPr="009D1220">
        <w:rPr>
          <w:rFonts w:ascii="Times New Roman" w:hAnsi="Times New Roman" w:cs="Times New Roman"/>
        </w:rPr>
        <w:t>Депозитные сертификаты представляют собой свидетельства о крупных срочных вкладах в банках и являются ценной бумагой. Поскольку срок обращения депозитных сертификатов, как правило, не превышает один год, эти бумаги можно рассматривать как бумаги денежного рынка.</w:t>
      </w:r>
    </w:p>
    <w:p w:rsidR="008F4BC9" w:rsidRDefault="008F4BC9" w:rsidP="008F4BC9">
      <w:pPr>
        <w:spacing w:after="0" w:line="240" w:lineRule="auto"/>
        <w:ind w:firstLine="567"/>
        <w:jc w:val="both"/>
        <w:rPr>
          <w:rFonts w:ascii="Times New Roman" w:hAnsi="Times New Roman" w:cs="Times New Roman"/>
        </w:rPr>
      </w:pPr>
      <w:r w:rsidRPr="00FC5452">
        <w:rPr>
          <w:rFonts w:ascii="Times New Roman" w:hAnsi="Times New Roman" w:cs="Times New Roman"/>
        </w:rPr>
        <w:t xml:space="preserve">Рассмотрим, как выглядит текущая ситуация в основных сегментах финансового </w:t>
      </w:r>
      <w:r>
        <w:rPr>
          <w:rFonts w:ascii="Times New Roman" w:hAnsi="Times New Roman" w:cs="Times New Roman"/>
        </w:rPr>
        <w:t>рынка: валютном рынке и рынке капитала.</w:t>
      </w:r>
    </w:p>
    <w:p w:rsidR="008F4BC9"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 xml:space="preserve">Валютный рынок характеризуется наметившейся с 2016 года тенденцией к росту как покупки, так и продажи иностранной валюты как физическими, так и юридическими лицами и уменьшению отрицательного сальдо, что в перспективе может привести к усилению давления на валютный курс (таблица 1) </w:t>
      </w:r>
    </w:p>
    <w:p w:rsidR="008F4BC9" w:rsidRDefault="008F4BC9" w:rsidP="008F4BC9">
      <w:pPr>
        <w:spacing w:after="0" w:line="240" w:lineRule="auto"/>
        <w:jc w:val="center"/>
        <w:rPr>
          <w:rFonts w:ascii="Times New Roman" w:hAnsi="Times New Roman" w:cs="Times New Roman"/>
          <w:b/>
          <w:sz w:val="18"/>
          <w:szCs w:val="18"/>
        </w:rPr>
      </w:pPr>
    </w:p>
    <w:p w:rsidR="008F4BC9" w:rsidRDefault="008F4BC9" w:rsidP="008F4BC9">
      <w:pPr>
        <w:spacing w:after="0" w:line="240" w:lineRule="auto"/>
        <w:jc w:val="center"/>
        <w:rPr>
          <w:rFonts w:ascii="Times New Roman" w:hAnsi="Times New Roman" w:cs="Times New Roman"/>
          <w:b/>
          <w:sz w:val="18"/>
          <w:szCs w:val="18"/>
        </w:rPr>
      </w:pPr>
      <w:r w:rsidRPr="005E5EC8">
        <w:rPr>
          <w:rFonts w:ascii="Times New Roman" w:hAnsi="Times New Roman" w:cs="Times New Roman"/>
          <w:b/>
          <w:sz w:val="18"/>
          <w:szCs w:val="18"/>
        </w:rPr>
        <w:t>Таблица</w:t>
      </w:r>
      <w:r>
        <w:rPr>
          <w:rFonts w:ascii="Times New Roman" w:hAnsi="Times New Roman" w:cs="Times New Roman"/>
          <w:b/>
          <w:sz w:val="18"/>
          <w:szCs w:val="18"/>
        </w:rPr>
        <w:t xml:space="preserve"> 1</w:t>
      </w:r>
      <w:r w:rsidRPr="005E5EC8">
        <w:rPr>
          <w:rFonts w:ascii="Times New Roman" w:hAnsi="Times New Roman" w:cs="Times New Roman"/>
          <w:b/>
          <w:sz w:val="18"/>
          <w:szCs w:val="18"/>
        </w:rPr>
        <w:t xml:space="preserve"> – Динамика купли</w:t>
      </w:r>
      <w:r>
        <w:rPr>
          <w:rFonts w:ascii="Times New Roman" w:hAnsi="Times New Roman" w:cs="Times New Roman"/>
          <w:b/>
          <w:sz w:val="18"/>
          <w:szCs w:val="18"/>
        </w:rPr>
        <w:t>-</w:t>
      </w:r>
      <w:r w:rsidRPr="005E5EC8">
        <w:rPr>
          <w:rFonts w:ascii="Times New Roman" w:hAnsi="Times New Roman" w:cs="Times New Roman"/>
          <w:b/>
          <w:sz w:val="18"/>
          <w:szCs w:val="18"/>
        </w:rPr>
        <w:t>продажи иностранной валюты в 2015 -2017гг.</w:t>
      </w:r>
      <w:r>
        <w:rPr>
          <w:rFonts w:ascii="Times New Roman" w:hAnsi="Times New Roman" w:cs="Times New Roman"/>
          <w:b/>
          <w:sz w:val="18"/>
          <w:szCs w:val="18"/>
        </w:rPr>
        <w:t>, млн. долларов США</w:t>
      </w:r>
    </w:p>
    <w:p w:rsidR="008F4BC9" w:rsidRPr="005E5EC8" w:rsidRDefault="008F4BC9" w:rsidP="008F4BC9">
      <w:pPr>
        <w:spacing w:after="0" w:line="240" w:lineRule="auto"/>
        <w:ind w:firstLine="567"/>
        <w:jc w:val="both"/>
        <w:rPr>
          <w:rFonts w:ascii="Times New Roman" w:hAnsi="Times New Roman" w:cs="Times New Roman"/>
          <w:b/>
          <w:sz w:val="18"/>
          <w:szCs w:val="18"/>
        </w:rPr>
      </w:pPr>
    </w:p>
    <w:tbl>
      <w:tblPr>
        <w:tblW w:w="9072" w:type="dxa"/>
        <w:tblInd w:w="-5" w:type="dxa"/>
        <w:tblLook w:val="04A0" w:firstRow="1" w:lastRow="0" w:firstColumn="1" w:lastColumn="0" w:noHBand="0" w:noVBand="1"/>
      </w:tblPr>
      <w:tblGrid>
        <w:gridCol w:w="2100"/>
        <w:gridCol w:w="2578"/>
        <w:gridCol w:w="2410"/>
        <w:gridCol w:w="1984"/>
      </w:tblGrid>
      <w:tr w:rsidR="008F4BC9" w:rsidRPr="00044BF2" w:rsidTr="00C10C47">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 Показатели</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2015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2016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2017</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Покупка валюты</w:t>
            </w:r>
            <w:r>
              <w:rPr>
                <w:rFonts w:ascii="Times New Roman" w:eastAsia="Times New Roman" w:hAnsi="Times New Roman" w:cs="Times New Roman"/>
                <w:color w:val="000000"/>
                <w:sz w:val="18"/>
                <w:szCs w:val="18"/>
                <w:lang w:eastAsia="ru-RU"/>
              </w:rPr>
              <w:t>, млн. долларов США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25 530,36</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22 072,40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25 596,40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юридические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18 363,00</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16 349,00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19 058,70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физические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7 167,36</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5 723,40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6 537,70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Продажа валюты</w:t>
            </w:r>
            <w:r w:rsidRPr="00207BAE">
              <w:rPr>
                <w:rFonts w:ascii="Times New Roman" w:eastAsia="Times New Roman" w:hAnsi="Times New Roman" w:cs="Times New Roman"/>
                <w:color w:val="000000"/>
                <w:sz w:val="18"/>
                <w:szCs w:val="18"/>
                <w:lang w:eastAsia="ru-RU"/>
              </w:rPr>
              <w:t>, млн. долларов США</w:t>
            </w:r>
            <w:r w:rsidRPr="00044BF2">
              <w:rPr>
                <w:rFonts w:ascii="Times New Roman" w:eastAsia="Times New Roman" w:hAnsi="Times New Roman" w:cs="Times New Roman"/>
                <w:color w:val="000000"/>
                <w:sz w:val="18"/>
                <w:szCs w:val="18"/>
                <w:lang w:eastAsia="ru-RU"/>
              </w:rPr>
              <w:t xml:space="preserve"> </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25 256,05</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23 760,40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26 475,30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юридические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17 959,10</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16 143,00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18 178,70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физические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7 296,95</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7 617,40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8 296,60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Сальдо</w:t>
            </w:r>
            <w:r w:rsidRPr="00207BAE">
              <w:rPr>
                <w:rFonts w:ascii="Times New Roman" w:eastAsia="Times New Roman" w:hAnsi="Times New Roman" w:cs="Times New Roman"/>
                <w:color w:val="000000"/>
                <w:sz w:val="18"/>
                <w:szCs w:val="18"/>
                <w:lang w:eastAsia="ru-RU"/>
              </w:rPr>
              <w:t>, млн. долларов США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274,31</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-1 688,00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-878,90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юридические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403,90</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206,00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880,00</w:t>
            </w:r>
          </w:p>
        </w:tc>
      </w:tr>
      <w:tr w:rsidR="008F4BC9" w:rsidRPr="00044BF2" w:rsidTr="00C10C4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44BF2">
              <w:rPr>
                <w:rFonts w:ascii="Times New Roman" w:eastAsia="Times New Roman" w:hAnsi="Times New Roman" w:cs="Times New Roman"/>
                <w:color w:val="000000"/>
                <w:sz w:val="18"/>
                <w:szCs w:val="18"/>
                <w:lang w:eastAsia="ru-RU"/>
              </w:rPr>
              <w:t>физические лица</w:t>
            </w:r>
          </w:p>
        </w:tc>
        <w:tc>
          <w:tcPr>
            <w:tcW w:w="2578"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-129,59</w:t>
            </w:r>
          </w:p>
        </w:tc>
        <w:tc>
          <w:tcPr>
            <w:tcW w:w="2410"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-1 894,00</w:t>
            </w:r>
          </w:p>
        </w:tc>
        <w:tc>
          <w:tcPr>
            <w:tcW w:w="1984" w:type="dxa"/>
            <w:tcBorders>
              <w:top w:val="nil"/>
              <w:left w:val="nil"/>
              <w:bottom w:val="single" w:sz="4" w:space="0" w:color="auto"/>
              <w:right w:val="single" w:sz="4" w:space="0" w:color="auto"/>
            </w:tcBorders>
            <w:shd w:val="clear" w:color="auto" w:fill="auto"/>
            <w:noWrap/>
            <w:vAlign w:val="bottom"/>
            <w:hideMark/>
          </w:tcPr>
          <w:p w:rsidR="008F4BC9" w:rsidRPr="00044BF2"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044BF2">
              <w:rPr>
                <w:rFonts w:ascii="Times New Roman" w:eastAsia="Times New Roman" w:hAnsi="Times New Roman" w:cs="Times New Roman"/>
                <w:color w:val="000000"/>
                <w:sz w:val="18"/>
                <w:szCs w:val="18"/>
                <w:lang w:eastAsia="ru-RU"/>
              </w:rPr>
              <w:t>-1 758,90</w:t>
            </w:r>
          </w:p>
        </w:tc>
      </w:tr>
    </w:tbl>
    <w:p w:rsidR="008F4BC9" w:rsidRPr="00CC4284" w:rsidRDefault="008F4BC9" w:rsidP="008F4B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Примечание: составлено по</w:t>
      </w:r>
      <w:r w:rsidRPr="00171DD0">
        <w:rPr>
          <w:rFonts w:ascii="Times New Roman" w:hAnsi="Times New Roman" w:cs="Times New Roman"/>
          <w:sz w:val="18"/>
          <w:szCs w:val="18"/>
        </w:rPr>
        <w:t xml:space="preserve"> </w:t>
      </w:r>
      <w:r>
        <w:rPr>
          <w:rFonts w:ascii="Times New Roman" w:hAnsi="Times New Roman" w:cs="Times New Roman"/>
          <w:sz w:val="18"/>
          <w:szCs w:val="18"/>
        </w:rPr>
        <w:t>[2</w:t>
      </w:r>
    </w:p>
    <w:p w:rsidR="008F4BC9"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Как показывают данные таблицы 1, на уменьшение сальдо оказало влияние увеличение покупки валюты как юридическими, так и физическими лицами. Физические лица по-прежнему продали валюты больше, однако увеличили ее покупку. По всей вероятности, она сохранится и в текущем году: по данным Национального банка, за 4 месяца 2018 г. размер отрицательного сальдо покупки продажи валюты физическими лицами составил -450,5 млн. долларов США [1]. Значительную роль в этом сыграло как постепенное увеличение доходов населения, так и снижение процентов по банковским депозитам, которые в течение последних трех лет по вкладам в национальной валюте упали с 34 до 11,8%, а в иностранной – с 5,1 % до 2,1 % (таблица 2).</w:t>
      </w:r>
    </w:p>
    <w:p w:rsidR="008F4BC9" w:rsidRDefault="008F4BC9" w:rsidP="008F4BC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Таблица 2 - </w:t>
      </w:r>
      <w:r w:rsidRPr="00795953">
        <w:rPr>
          <w:rFonts w:ascii="Times New Roman" w:hAnsi="Times New Roman" w:cs="Times New Roman"/>
          <w:b/>
          <w:sz w:val="18"/>
          <w:szCs w:val="18"/>
        </w:rPr>
        <w:t>Динамика среднегодовых процентных ставок по новым депозитам на срок свыше одного года, %</w:t>
      </w:r>
    </w:p>
    <w:p w:rsidR="008F4BC9" w:rsidRPr="00795953" w:rsidRDefault="008F4BC9" w:rsidP="008F4BC9">
      <w:pPr>
        <w:spacing w:after="0" w:line="240" w:lineRule="auto"/>
        <w:jc w:val="center"/>
        <w:rPr>
          <w:rFonts w:ascii="Times New Roman" w:hAnsi="Times New Roman" w:cs="Times New Roman"/>
          <w:b/>
          <w:sz w:val="18"/>
          <w:szCs w:val="18"/>
        </w:rPr>
      </w:pPr>
    </w:p>
    <w:tbl>
      <w:tblPr>
        <w:tblW w:w="9072" w:type="dxa"/>
        <w:tblInd w:w="-5" w:type="dxa"/>
        <w:tblLook w:val="04A0" w:firstRow="1" w:lastRow="0" w:firstColumn="1" w:lastColumn="0" w:noHBand="0" w:noVBand="1"/>
      </w:tblPr>
      <w:tblGrid>
        <w:gridCol w:w="5670"/>
        <w:gridCol w:w="1134"/>
        <w:gridCol w:w="1134"/>
        <w:gridCol w:w="1134"/>
      </w:tblGrid>
      <w:tr w:rsidR="008F4BC9" w:rsidRPr="00795953" w:rsidTr="00C10C47">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lastRenderedPageBreak/>
              <w:t> 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2017</w:t>
            </w:r>
          </w:p>
        </w:tc>
      </w:tr>
      <w:tr w:rsidR="008F4BC9" w:rsidRPr="00795953" w:rsidTr="00C10C47">
        <w:trPr>
          <w:trHeight w:val="300"/>
        </w:trPr>
        <w:tc>
          <w:tcPr>
            <w:tcW w:w="5670" w:type="dxa"/>
            <w:tcBorders>
              <w:top w:val="single" w:sz="4" w:space="0" w:color="auto"/>
              <w:left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 xml:space="preserve"> В национальной валюте</w:t>
            </w: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r>
      <w:tr w:rsidR="008F4BC9" w:rsidRPr="00795953" w:rsidTr="00C10C47">
        <w:trPr>
          <w:trHeight w:val="300"/>
        </w:trPr>
        <w:tc>
          <w:tcPr>
            <w:tcW w:w="5670" w:type="dxa"/>
            <w:tcBorders>
              <w:left w:val="single" w:sz="4" w:space="0" w:color="auto"/>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 xml:space="preserve">       для юридических лиц</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30,1</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20,3</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6</w:t>
            </w:r>
          </w:p>
        </w:tc>
      </w:tr>
      <w:tr w:rsidR="008F4BC9" w:rsidRPr="00795953" w:rsidTr="00C10C47">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 xml:space="preserve">       для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21,4</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11,8</w:t>
            </w:r>
          </w:p>
        </w:tc>
      </w:tr>
      <w:tr w:rsidR="008F4BC9" w:rsidRPr="00795953" w:rsidTr="00C10C47">
        <w:trPr>
          <w:trHeight w:val="300"/>
        </w:trPr>
        <w:tc>
          <w:tcPr>
            <w:tcW w:w="5670" w:type="dxa"/>
            <w:tcBorders>
              <w:top w:val="single" w:sz="4" w:space="0" w:color="auto"/>
              <w:left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В иностранной валюте</w:t>
            </w: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r>
      <w:tr w:rsidR="008F4BC9" w:rsidRPr="00795953" w:rsidTr="00C10C47">
        <w:trPr>
          <w:trHeight w:val="300"/>
        </w:trPr>
        <w:tc>
          <w:tcPr>
            <w:tcW w:w="5670" w:type="dxa"/>
            <w:tcBorders>
              <w:left w:val="single" w:sz="4" w:space="0" w:color="auto"/>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 xml:space="preserve">       для юридических лиц</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5,9</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3,2</w:t>
            </w:r>
          </w:p>
        </w:tc>
        <w:tc>
          <w:tcPr>
            <w:tcW w:w="1134" w:type="dxa"/>
            <w:tcBorders>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2,2</w:t>
            </w:r>
          </w:p>
        </w:tc>
      </w:tr>
      <w:tr w:rsidR="008F4BC9" w:rsidRPr="00795953" w:rsidTr="00C10C47">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 xml:space="preserve">       для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795953"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795953">
              <w:rPr>
                <w:rFonts w:ascii="Times New Roman" w:eastAsia="Times New Roman" w:hAnsi="Times New Roman" w:cs="Times New Roman"/>
                <w:color w:val="000000"/>
                <w:sz w:val="18"/>
                <w:szCs w:val="18"/>
                <w:lang w:eastAsia="ru-RU"/>
              </w:rPr>
              <w:t>2,1</w:t>
            </w:r>
          </w:p>
        </w:tc>
      </w:tr>
    </w:tbl>
    <w:p w:rsidR="008F4BC9" w:rsidRPr="00171DD0" w:rsidRDefault="008F4BC9" w:rsidP="008F4B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Примечание: составлено по</w:t>
      </w:r>
      <w:r w:rsidRPr="00171DD0">
        <w:rPr>
          <w:rFonts w:ascii="Times New Roman" w:hAnsi="Times New Roman" w:cs="Times New Roman"/>
          <w:sz w:val="18"/>
          <w:szCs w:val="18"/>
        </w:rPr>
        <w:t xml:space="preserve"> </w:t>
      </w:r>
      <w:r>
        <w:rPr>
          <w:rFonts w:ascii="Times New Roman" w:hAnsi="Times New Roman" w:cs="Times New Roman"/>
          <w:sz w:val="18"/>
          <w:szCs w:val="18"/>
        </w:rPr>
        <w:t>[3</w:t>
      </w:r>
      <w:r w:rsidRPr="00171DD0">
        <w:rPr>
          <w:rFonts w:ascii="Times New Roman" w:hAnsi="Times New Roman" w:cs="Times New Roman"/>
          <w:sz w:val="18"/>
          <w:szCs w:val="18"/>
        </w:rPr>
        <w:t>]</w:t>
      </w:r>
    </w:p>
    <w:p w:rsidR="008F4BC9" w:rsidRDefault="008F4BC9" w:rsidP="008F4BC9">
      <w:pPr>
        <w:spacing w:after="0" w:line="240" w:lineRule="auto"/>
        <w:jc w:val="center"/>
        <w:rPr>
          <w:rFonts w:ascii="Times New Roman" w:hAnsi="Times New Roman" w:cs="Times New Roman"/>
          <w:b/>
          <w:sz w:val="18"/>
          <w:szCs w:val="18"/>
        </w:rPr>
      </w:pPr>
    </w:p>
    <w:p w:rsidR="008F4BC9" w:rsidRPr="00D1231C" w:rsidRDefault="008F4BC9" w:rsidP="008F4BC9">
      <w:pPr>
        <w:spacing w:after="0" w:line="240" w:lineRule="auto"/>
        <w:ind w:firstLine="567"/>
        <w:jc w:val="both"/>
        <w:rPr>
          <w:rFonts w:ascii="Times New Roman" w:hAnsi="Times New Roman" w:cs="Times New Roman"/>
        </w:rPr>
      </w:pPr>
      <w:r w:rsidRPr="00D1231C">
        <w:rPr>
          <w:rFonts w:ascii="Times New Roman" w:hAnsi="Times New Roman" w:cs="Times New Roman"/>
        </w:rPr>
        <w:t xml:space="preserve"> На рынке банковских ссуд за этот период произошло значительное снижение процентных ставок, особенно по кредитам в национальной валюте, что увеличило их доступность как для субъектов хозяйствования, так и для </w:t>
      </w:r>
      <w:proofErr w:type="gramStart"/>
      <w:r w:rsidRPr="00D1231C">
        <w:rPr>
          <w:rFonts w:ascii="Times New Roman" w:hAnsi="Times New Roman" w:cs="Times New Roman"/>
        </w:rPr>
        <w:t>населения  (</w:t>
      </w:r>
      <w:proofErr w:type="gramEnd"/>
      <w:r w:rsidRPr="00D1231C">
        <w:rPr>
          <w:rFonts w:ascii="Times New Roman" w:hAnsi="Times New Roman" w:cs="Times New Roman"/>
        </w:rPr>
        <w:t xml:space="preserve">таблица 3). </w:t>
      </w:r>
    </w:p>
    <w:p w:rsidR="008F4BC9" w:rsidRDefault="008F4BC9" w:rsidP="008F4BC9">
      <w:pPr>
        <w:spacing w:after="0" w:line="240" w:lineRule="auto"/>
        <w:jc w:val="center"/>
        <w:rPr>
          <w:rFonts w:ascii="Times New Roman" w:hAnsi="Times New Roman" w:cs="Times New Roman"/>
          <w:b/>
          <w:sz w:val="18"/>
          <w:szCs w:val="18"/>
        </w:rPr>
      </w:pPr>
    </w:p>
    <w:p w:rsidR="008F4BC9" w:rsidRDefault="008F4BC9" w:rsidP="008F4BC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Таблица 3 - </w:t>
      </w:r>
      <w:r w:rsidRPr="00795953">
        <w:rPr>
          <w:rFonts w:ascii="Times New Roman" w:hAnsi="Times New Roman" w:cs="Times New Roman"/>
          <w:b/>
          <w:sz w:val="18"/>
          <w:szCs w:val="18"/>
        </w:rPr>
        <w:t xml:space="preserve">Динамика среднегодовых процентных ставок </w:t>
      </w:r>
      <w:r>
        <w:rPr>
          <w:rFonts w:ascii="Times New Roman" w:hAnsi="Times New Roman" w:cs="Times New Roman"/>
          <w:b/>
          <w:sz w:val="18"/>
          <w:szCs w:val="18"/>
        </w:rPr>
        <w:t>по новым кредитам</w:t>
      </w:r>
      <w:r w:rsidRPr="00795953">
        <w:rPr>
          <w:rFonts w:ascii="Times New Roman" w:hAnsi="Times New Roman" w:cs="Times New Roman"/>
          <w:b/>
          <w:sz w:val="18"/>
          <w:szCs w:val="18"/>
        </w:rPr>
        <w:t xml:space="preserve"> на срок свыше одного года, %</w:t>
      </w:r>
    </w:p>
    <w:p w:rsidR="008F4BC9" w:rsidRDefault="008F4BC9" w:rsidP="008F4BC9">
      <w:pPr>
        <w:spacing w:after="0" w:line="240" w:lineRule="auto"/>
        <w:ind w:firstLine="567"/>
        <w:jc w:val="both"/>
        <w:rPr>
          <w:rFonts w:ascii="Times New Roman" w:hAnsi="Times New Roman" w:cs="Times New Roman"/>
        </w:rPr>
      </w:pPr>
    </w:p>
    <w:tbl>
      <w:tblPr>
        <w:tblW w:w="9072" w:type="dxa"/>
        <w:tblInd w:w="-5" w:type="dxa"/>
        <w:tblLook w:val="04A0" w:firstRow="1" w:lastRow="0" w:firstColumn="1" w:lastColumn="0" w:noHBand="0" w:noVBand="1"/>
      </w:tblPr>
      <w:tblGrid>
        <w:gridCol w:w="5670"/>
        <w:gridCol w:w="1134"/>
        <w:gridCol w:w="1134"/>
        <w:gridCol w:w="1134"/>
      </w:tblGrid>
      <w:tr w:rsidR="008F4BC9" w:rsidRPr="00F63CDF" w:rsidTr="00C10C47">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hideMark/>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2017</w:t>
            </w:r>
          </w:p>
        </w:tc>
      </w:tr>
      <w:tr w:rsidR="008F4BC9" w:rsidRPr="00F63CDF" w:rsidTr="00C10C47">
        <w:trPr>
          <w:trHeight w:val="300"/>
        </w:trPr>
        <w:tc>
          <w:tcPr>
            <w:tcW w:w="5670" w:type="dxa"/>
            <w:tcBorders>
              <w:top w:val="single" w:sz="4" w:space="0" w:color="auto"/>
              <w:left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В национальной валюте</w:t>
            </w: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r>
      <w:tr w:rsidR="008F4BC9" w:rsidRPr="00F63CDF" w:rsidTr="00C10C47">
        <w:trPr>
          <w:trHeight w:val="300"/>
        </w:trPr>
        <w:tc>
          <w:tcPr>
            <w:tcW w:w="5670" w:type="dxa"/>
            <w:tcBorders>
              <w:left w:val="single" w:sz="4" w:space="0" w:color="auto"/>
              <w:bottom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для юридических лиц</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26,3</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22,1</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12,3</w:t>
            </w:r>
          </w:p>
        </w:tc>
      </w:tr>
      <w:tr w:rsidR="008F4BC9" w:rsidRPr="00F63CDF" w:rsidTr="00C10C47">
        <w:trPr>
          <w:trHeight w:val="300"/>
        </w:trPr>
        <w:tc>
          <w:tcPr>
            <w:tcW w:w="5670" w:type="dxa"/>
            <w:tcBorders>
              <w:top w:val="nil"/>
              <w:left w:val="single" w:sz="4" w:space="0" w:color="auto"/>
              <w:bottom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для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22,2</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20,7</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13,2</w:t>
            </w:r>
          </w:p>
        </w:tc>
      </w:tr>
      <w:tr w:rsidR="008F4BC9" w:rsidRPr="00F63CDF" w:rsidTr="00C10C47">
        <w:trPr>
          <w:trHeight w:val="300"/>
        </w:trPr>
        <w:tc>
          <w:tcPr>
            <w:tcW w:w="5670" w:type="dxa"/>
            <w:tcBorders>
              <w:top w:val="single" w:sz="4" w:space="0" w:color="auto"/>
              <w:left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В иностранной валюте</w:t>
            </w: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p>
        </w:tc>
      </w:tr>
      <w:tr w:rsidR="008F4BC9" w:rsidRPr="00F63CDF" w:rsidTr="00C10C47">
        <w:trPr>
          <w:trHeight w:val="300"/>
        </w:trPr>
        <w:tc>
          <w:tcPr>
            <w:tcW w:w="5670" w:type="dxa"/>
            <w:tcBorders>
              <w:left w:val="single" w:sz="4" w:space="0" w:color="auto"/>
              <w:bottom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для юридических лиц</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9,9</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7,9</w:t>
            </w:r>
          </w:p>
        </w:tc>
        <w:tc>
          <w:tcPr>
            <w:tcW w:w="1134" w:type="dxa"/>
            <w:tcBorders>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sidRPr="00F63CDF">
              <w:rPr>
                <w:rFonts w:ascii="Times New Roman" w:eastAsia="Times New Roman" w:hAnsi="Times New Roman" w:cs="Times New Roman"/>
                <w:color w:val="000000"/>
                <w:sz w:val="18"/>
                <w:szCs w:val="18"/>
                <w:lang w:eastAsia="ru-RU"/>
              </w:rPr>
              <w:t>7,2</w:t>
            </w:r>
          </w:p>
        </w:tc>
      </w:tr>
      <w:tr w:rsidR="008F4BC9" w:rsidRPr="00F63CDF" w:rsidTr="00C10C47">
        <w:trPr>
          <w:trHeight w:val="300"/>
        </w:trPr>
        <w:tc>
          <w:tcPr>
            <w:tcW w:w="5670" w:type="dxa"/>
            <w:tcBorders>
              <w:top w:val="nil"/>
              <w:left w:val="single" w:sz="4" w:space="0" w:color="auto"/>
              <w:bottom w:val="single" w:sz="4" w:space="0" w:color="auto"/>
              <w:right w:val="single" w:sz="4" w:space="0" w:color="auto"/>
            </w:tcBorders>
            <w:shd w:val="clear" w:color="auto" w:fill="auto"/>
            <w:noWrap/>
          </w:tcPr>
          <w:p w:rsidR="008F4BC9" w:rsidRPr="00F63CDF" w:rsidRDefault="008F4BC9" w:rsidP="00C10C47">
            <w:pPr>
              <w:spacing w:after="0"/>
              <w:rPr>
                <w:rFonts w:ascii="Times New Roman" w:hAnsi="Times New Roman" w:cs="Times New Roman"/>
                <w:sz w:val="18"/>
                <w:szCs w:val="18"/>
              </w:rPr>
            </w:pPr>
            <w:r w:rsidRPr="00F63CDF">
              <w:rPr>
                <w:rFonts w:ascii="Times New Roman" w:hAnsi="Times New Roman" w:cs="Times New Roman"/>
                <w:sz w:val="18"/>
                <w:szCs w:val="18"/>
              </w:rPr>
              <w:t xml:space="preserve">       для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8F4BC9" w:rsidRPr="00F63CDF" w:rsidRDefault="008F4BC9" w:rsidP="00C10C4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bl>
    <w:p w:rsidR="008F4BC9" w:rsidRPr="00171DD0" w:rsidRDefault="008F4BC9" w:rsidP="008F4B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Примечание: составлено по</w:t>
      </w:r>
      <w:r w:rsidRPr="00171DD0">
        <w:rPr>
          <w:rFonts w:ascii="Times New Roman" w:hAnsi="Times New Roman" w:cs="Times New Roman"/>
          <w:sz w:val="18"/>
          <w:szCs w:val="18"/>
        </w:rPr>
        <w:t xml:space="preserve"> </w:t>
      </w:r>
      <w:r>
        <w:rPr>
          <w:rFonts w:ascii="Times New Roman" w:hAnsi="Times New Roman" w:cs="Times New Roman"/>
          <w:sz w:val="18"/>
          <w:szCs w:val="18"/>
        </w:rPr>
        <w:t>[3</w:t>
      </w:r>
      <w:r w:rsidRPr="00171DD0">
        <w:rPr>
          <w:rFonts w:ascii="Times New Roman" w:hAnsi="Times New Roman" w:cs="Times New Roman"/>
          <w:sz w:val="18"/>
          <w:szCs w:val="18"/>
        </w:rPr>
        <w:t>]</w:t>
      </w:r>
    </w:p>
    <w:p w:rsidR="008F4BC9" w:rsidRDefault="008F4BC9" w:rsidP="008F4BC9">
      <w:pPr>
        <w:spacing w:after="0" w:line="240" w:lineRule="auto"/>
        <w:ind w:firstLine="567"/>
        <w:jc w:val="both"/>
        <w:rPr>
          <w:rFonts w:ascii="Times New Roman" w:hAnsi="Times New Roman" w:cs="Times New Roman"/>
        </w:rPr>
      </w:pPr>
    </w:p>
    <w:p w:rsidR="008F4BC9" w:rsidRPr="00D1231C" w:rsidRDefault="008F4BC9" w:rsidP="008F4BC9">
      <w:pPr>
        <w:spacing w:after="0" w:line="240" w:lineRule="auto"/>
        <w:ind w:firstLine="567"/>
        <w:jc w:val="both"/>
        <w:rPr>
          <w:rFonts w:ascii="Times New Roman" w:hAnsi="Times New Roman" w:cs="Times New Roman"/>
        </w:rPr>
      </w:pPr>
      <w:r w:rsidRPr="00D1231C">
        <w:rPr>
          <w:rFonts w:ascii="Times New Roman" w:hAnsi="Times New Roman" w:cs="Times New Roman"/>
        </w:rPr>
        <w:t xml:space="preserve">В другом сегменте рынка капитана – на рынке </w:t>
      </w:r>
      <w:r>
        <w:rPr>
          <w:rFonts w:ascii="Times New Roman" w:hAnsi="Times New Roman" w:cs="Times New Roman"/>
        </w:rPr>
        <w:t xml:space="preserve">корпоративных </w:t>
      </w:r>
      <w:r w:rsidRPr="00D1231C">
        <w:rPr>
          <w:rFonts w:ascii="Times New Roman" w:hAnsi="Times New Roman" w:cs="Times New Roman"/>
        </w:rPr>
        <w:t>облигаций – также наблюдается положительная динамика, связанная с увеличением объемов их выпуска (рисунок 2).</w:t>
      </w:r>
    </w:p>
    <w:p w:rsidR="008F4BC9" w:rsidRDefault="008F4BC9" w:rsidP="008F4BC9">
      <w:pPr>
        <w:spacing w:after="0" w:line="240" w:lineRule="auto"/>
        <w:jc w:val="center"/>
        <w:rPr>
          <w:rFonts w:ascii="Times New Roman" w:hAnsi="Times New Roman" w:cs="Times New Roman"/>
          <w:b/>
          <w:sz w:val="18"/>
          <w:szCs w:val="18"/>
        </w:rPr>
      </w:pPr>
    </w:p>
    <w:p w:rsidR="008F4BC9" w:rsidRDefault="008F4BC9" w:rsidP="008F4BC9">
      <w:pPr>
        <w:spacing w:after="0" w:line="240" w:lineRule="auto"/>
        <w:jc w:val="center"/>
        <w:rPr>
          <w:rFonts w:ascii="Times New Roman" w:hAnsi="Times New Roman" w:cs="Times New Roman"/>
          <w:b/>
          <w:sz w:val="18"/>
          <w:szCs w:val="18"/>
        </w:rPr>
      </w:pPr>
    </w:p>
    <w:p w:rsidR="008F4BC9" w:rsidRDefault="008F4BC9" w:rsidP="008F4BC9">
      <w:pPr>
        <w:spacing w:after="0" w:line="240" w:lineRule="auto"/>
        <w:jc w:val="center"/>
        <w:rPr>
          <w:rFonts w:ascii="Times New Roman" w:hAnsi="Times New Roman" w:cs="Times New Roman"/>
          <w:b/>
          <w:sz w:val="18"/>
          <w:szCs w:val="18"/>
        </w:rPr>
      </w:pPr>
      <w:r>
        <w:rPr>
          <w:rFonts w:ascii="Times New Roman" w:hAnsi="Times New Roman" w:cs="Times New Roman"/>
          <w:b/>
          <w:noProof/>
          <w:sz w:val="18"/>
          <w:szCs w:val="18"/>
          <w:lang w:eastAsia="ru-RU"/>
        </w:rPr>
        <w:drawing>
          <wp:inline distT="0" distB="0" distL="0" distR="0" wp14:anchorId="42BCCEE1" wp14:editId="60595FA2">
            <wp:extent cx="5314950" cy="1676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1676400"/>
                    </a:xfrm>
                    <a:prstGeom prst="rect">
                      <a:avLst/>
                    </a:prstGeom>
                    <a:noFill/>
                  </pic:spPr>
                </pic:pic>
              </a:graphicData>
            </a:graphic>
          </wp:inline>
        </w:drawing>
      </w:r>
    </w:p>
    <w:p w:rsidR="008F4BC9" w:rsidRDefault="008F4BC9" w:rsidP="008F4BC9">
      <w:pPr>
        <w:spacing w:after="0" w:line="240" w:lineRule="auto"/>
        <w:rPr>
          <w:rFonts w:ascii="Times New Roman" w:hAnsi="Times New Roman" w:cs="Times New Roman"/>
          <w:b/>
          <w:sz w:val="18"/>
          <w:szCs w:val="18"/>
        </w:rPr>
      </w:pPr>
    </w:p>
    <w:p w:rsidR="008F4BC9" w:rsidRPr="00184EC7" w:rsidRDefault="008F4BC9" w:rsidP="008F4BC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Рисунок 2 - </w:t>
      </w:r>
      <w:r w:rsidRPr="00184EC7">
        <w:rPr>
          <w:rFonts w:ascii="Times New Roman" w:hAnsi="Times New Roman" w:cs="Times New Roman"/>
          <w:b/>
          <w:sz w:val="18"/>
          <w:szCs w:val="18"/>
        </w:rPr>
        <w:t>Динамика объема выпусков</w:t>
      </w:r>
      <w:r>
        <w:rPr>
          <w:rFonts w:ascii="Times New Roman" w:hAnsi="Times New Roman" w:cs="Times New Roman"/>
          <w:b/>
          <w:sz w:val="18"/>
          <w:szCs w:val="18"/>
        </w:rPr>
        <w:t xml:space="preserve"> корпоративных облигаций и облигаций местных органов власти</w:t>
      </w:r>
      <w:r w:rsidRPr="00184EC7">
        <w:rPr>
          <w:rFonts w:ascii="Times New Roman" w:hAnsi="Times New Roman" w:cs="Times New Roman"/>
          <w:b/>
          <w:sz w:val="18"/>
          <w:szCs w:val="18"/>
        </w:rPr>
        <w:t xml:space="preserve"> по состоянию на 1 января</w:t>
      </w:r>
      <w:r>
        <w:rPr>
          <w:rFonts w:ascii="Times New Roman" w:hAnsi="Times New Roman" w:cs="Times New Roman"/>
          <w:b/>
          <w:sz w:val="18"/>
          <w:szCs w:val="18"/>
        </w:rPr>
        <w:t>, млрд руб.</w:t>
      </w:r>
    </w:p>
    <w:p w:rsidR="008F4BC9" w:rsidRDefault="008F4BC9" w:rsidP="008F4BC9">
      <w:pPr>
        <w:spacing w:after="0" w:line="240" w:lineRule="auto"/>
        <w:jc w:val="center"/>
        <w:rPr>
          <w:rFonts w:ascii="Times New Roman" w:hAnsi="Times New Roman" w:cs="Times New Roman"/>
        </w:rPr>
      </w:pPr>
      <w:r w:rsidRPr="00283E03">
        <w:rPr>
          <w:rFonts w:ascii="Times New Roman" w:hAnsi="Times New Roman" w:cs="Times New Roman"/>
        </w:rPr>
        <w:t>Примечание: составлено по [4]</w:t>
      </w:r>
    </w:p>
    <w:p w:rsidR="008F4BC9" w:rsidRDefault="008F4BC9" w:rsidP="008F4BC9">
      <w:pPr>
        <w:spacing w:after="0" w:line="240" w:lineRule="auto"/>
        <w:ind w:firstLine="567"/>
        <w:jc w:val="both"/>
        <w:rPr>
          <w:rFonts w:ascii="Times New Roman" w:hAnsi="Times New Roman" w:cs="Times New Roman"/>
        </w:rPr>
      </w:pPr>
      <w:r w:rsidRPr="00283E03">
        <w:rPr>
          <w:rFonts w:ascii="Times New Roman" w:hAnsi="Times New Roman" w:cs="Times New Roman"/>
        </w:rPr>
        <w:t>Однако следует отметить, что несмотря на общее увеличение их объема за последний год на 8,7 %, оно было достигнуто за счет облигаций банков и местных займов, а по облигациям предприятий, напротив, уменьшение составило 7,58 %. Всего в структуре выпусков облигаций, находящихся в обращении по состоянию на 01.01.2018 г. удельный вес выпусков облигаций банков, составил</w:t>
      </w:r>
      <w:r>
        <w:rPr>
          <w:rFonts w:ascii="Times New Roman" w:hAnsi="Times New Roman" w:cs="Times New Roman"/>
        </w:rPr>
        <w:t xml:space="preserve"> 42,8 %</w:t>
      </w:r>
      <w:r w:rsidRPr="00283E03">
        <w:rPr>
          <w:rFonts w:ascii="Times New Roman" w:hAnsi="Times New Roman" w:cs="Times New Roman"/>
        </w:rPr>
        <w:t xml:space="preserve">, предприятий – 35,8 %; местных исполнительных и распорядительных органов – 21,4 % от общего объема выпусков. </w:t>
      </w:r>
    </w:p>
    <w:p w:rsidR="008F4BC9" w:rsidRPr="00283E03"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Что касается их обращаемости, то сумма сделок купли-продажи по облигациям банков уменьшилась по сравнению с предыдущим годом на 23,2%, по облигациям предприятий – на 22,6%, по облигациям местных органов власти – на 2,06%.</w:t>
      </w:r>
    </w:p>
    <w:p w:rsidR="008F4BC9" w:rsidRPr="00283E03" w:rsidRDefault="008F4BC9" w:rsidP="008F4BC9">
      <w:pPr>
        <w:spacing w:after="0" w:line="240" w:lineRule="auto"/>
        <w:ind w:firstLine="567"/>
        <w:jc w:val="both"/>
        <w:rPr>
          <w:rFonts w:ascii="Times New Roman" w:hAnsi="Times New Roman" w:cs="Times New Roman"/>
        </w:rPr>
      </w:pPr>
      <w:r w:rsidRPr="00283E03">
        <w:rPr>
          <w:rFonts w:ascii="Times New Roman" w:hAnsi="Times New Roman" w:cs="Times New Roman"/>
        </w:rPr>
        <w:t>На рынке акций также наблюдается положительная динамика объемов их выпуска (рисунок 3).</w:t>
      </w:r>
    </w:p>
    <w:p w:rsidR="008F4BC9" w:rsidRPr="00D1231C" w:rsidRDefault="008F4BC9" w:rsidP="008F4BC9">
      <w:pPr>
        <w:spacing w:after="0" w:line="240" w:lineRule="auto"/>
        <w:ind w:firstLine="567"/>
        <w:jc w:val="both"/>
        <w:rPr>
          <w:rFonts w:ascii="Times New Roman" w:hAnsi="Times New Roman" w:cs="Times New Roman"/>
        </w:rPr>
      </w:pPr>
    </w:p>
    <w:p w:rsidR="008F4BC9" w:rsidRDefault="008F4BC9" w:rsidP="008F4BC9">
      <w:pPr>
        <w:jc w:val="center"/>
        <w:rPr>
          <w:rFonts w:ascii="Times New Roman" w:hAnsi="Times New Roman" w:cs="Times New Roman"/>
          <w:b/>
          <w:sz w:val="18"/>
          <w:szCs w:val="18"/>
        </w:rPr>
      </w:pPr>
      <w:r>
        <w:rPr>
          <w:rFonts w:ascii="Times New Roman" w:hAnsi="Times New Roman" w:cs="Times New Roman"/>
          <w:b/>
          <w:noProof/>
          <w:sz w:val="18"/>
          <w:szCs w:val="18"/>
          <w:lang w:eastAsia="ru-RU"/>
        </w:rPr>
        <w:lastRenderedPageBreak/>
        <w:drawing>
          <wp:inline distT="0" distB="0" distL="0" distR="0" wp14:anchorId="5FB6B825" wp14:editId="7FC34BAA">
            <wp:extent cx="5476875" cy="16668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1666875"/>
                    </a:xfrm>
                    <a:prstGeom prst="rect">
                      <a:avLst/>
                    </a:prstGeom>
                    <a:noFill/>
                  </pic:spPr>
                </pic:pic>
              </a:graphicData>
            </a:graphic>
          </wp:inline>
        </w:drawing>
      </w:r>
    </w:p>
    <w:p w:rsidR="008F4BC9" w:rsidRDefault="008F4BC9" w:rsidP="008F4BC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Рисунок 3 - </w:t>
      </w:r>
      <w:r w:rsidRPr="00795953">
        <w:rPr>
          <w:rFonts w:ascii="Times New Roman" w:hAnsi="Times New Roman" w:cs="Times New Roman"/>
          <w:b/>
          <w:sz w:val="18"/>
          <w:szCs w:val="18"/>
        </w:rPr>
        <w:t>Динам</w:t>
      </w:r>
      <w:r>
        <w:rPr>
          <w:rFonts w:ascii="Times New Roman" w:hAnsi="Times New Roman" w:cs="Times New Roman"/>
          <w:b/>
          <w:sz w:val="18"/>
          <w:szCs w:val="18"/>
        </w:rPr>
        <w:t>ика</w:t>
      </w:r>
      <w:r w:rsidRPr="00FC516A">
        <w:t xml:space="preserve"> </w:t>
      </w:r>
      <w:r>
        <w:rPr>
          <w:rFonts w:ascii="Times New Roman" w:hAnsi="Times New Roman" w:cs="Times New Roman"/>
          <w:b/>
          <w:sz w:val="18"/>
          <w:szCs w:val="18"/>
        </w:rPr>
        <w:t>объема выпусков акций</w:t>
      </w:r>
      <w:r w:rsidRPr="00FC516A">
        <w:rPr>
          <w:rFonts w:ascii="Times New Roman" w:hAnsi="Times New Roman" w:cs="Times New Roman"/>
          <w:b/>
          <w:sz w:val="18"/>
          <w:szCs w:val="18"/>
        </w:rPr>
        <w:t xml:space="preserve"> по состоянию на 1 января, млрд руб.</w:t>
      </w:r>
    </w:p>
    <w:p w:rsidR="008F4BC9" w:rsidRPr="00431528" w:rsidRDefault="008F4BC9" w:rsidP="008F4BC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Примечание: составлено по</w:t>
      </w:r>
      <w:r w:rsidRPr="00171DD0">
        <w:rPr>
          <w:rFonts w:ascii="Times New Roman" w:hAnsi="Times New Roman" w:cs="Times New Roman"/>
          <w:sz w:val="18"/>
          <w:szCs w:val="18"/>
        </w:rPr>
        <w:t xml:space="preserve"> </w:t>
      </w:r>
      <w:r>
        <w:rPr>
          <w:rFonts w:ascii="Times New Roman" w:hAnsi="Times New Roman" w:cs="Times New Roman"/>
          <w:sz w:val="18"/>
          <w:szCs w:val="18"/>
        </w:rPr>
        <w:t>[4</w:t>
      </w:r>
      <w:r w:rsidRPr="00171DD0">
        <w:rPr>
          <w:rFonts w:ascii="Times New Roman" w:hAnsi="Times New Roman" w:cs="Times New Roman"/>
          <w:sz w:val="18"/>
          <w:szCs w:val="18"/>
        </w:rPr>
        <w:t>]</w:t>
      </w:r>
      <w:r>
        <w:rPr>
          <w:rFonts w:ascii="Times New Roman" w:hAnsi="Times New Roman" w:cs="Times New Roman"/>
          <w:sz w:val="18"/>
          <w:szCs w:val="18"/>
        </w:rPr>
        <w:t xml:space="preserve"> </w:t>
      </w:r>
    </w:p>
    <w:p w:rsidR="008F4BC9" w:rsidRDefault="008F4BC9" w:rsidP="008F4BC9">
      <w:pPr>
        <w:spacing w:after="0" w:line="240" w:lineRule="auto"/>
        <w:rPr>
          <w:rFonts w:ascii="Times New Roman" w:hAnsi="Times New Roman" w:cs="Times New Roman"/>
          <w:b/>
          <w:sz w:val="18"/>
          <w:szCs w:val="18"/>
        </w:rPr>
      </w:pPr>
    </w:p>
    <w:p w:rsidR="008F4BC9" w:rsidRPr="00431528" w:rsidRDefault="008F4BC9" w:rsidP="008F4BC9">
      <w:pPr>
        <w:spacing w:after="0" w:line="240" w:lineRule="auto"/>
        <w:ind w:firstLine="567"/>
        <w:jc w:val="both"/>
        <w:rPr>
          <w:rFonts w:ascii="Times New Roman" w:hAnsi="Times New Roman" w:cs="Times New Roman"/>
        </w:rPr>
      </w:pPr>
      <w:r w:rsidRPr="00431528">
        <w:rPr>
          <w:rFonts w:ascii="Times New Roman" w:hAnsi="Times New Roman" w:cs="Times New Roman"/>
        </w:rPr>
        <w:t>Тем не менее на чистой основе, по данным Департамента по ценным бумагам Министерства финансов, объем выпусков акций акционерных обществ, зарегистрированных в Государственном реестре ценных бумаг в 2017 г., составил 1 968,9 млн рублей, уменьшившись на 33 % по сравнению с аналогичным периодом прошлого года (в 2016 г. – 2 939,3 млн рублей).</w:t>
      </w:r>
    </w:p>
    <w:p w:rsidR="008F4BC9" w:rsidRPr="00431528" w:rsidRDefault="008F4BC9" w:rsidP="008F4BC9">
      <w:pPr>
        <w:spacing w:after="0" w:line="240" w:lineRule="auto"/>
        <w:ind w:firstLine="567"/>
        <w:jc w:val="both"/>
        <w:rPr>
          <w:rFonts w:ascii="Times New Roman" w:hAnsi="Times New Roman" w:cs="Times New Roman"/>
        </w:rPr>
      </w:pPr>
      <w:r w:rsidRPr="00431528">
        <w:rPr>
          <w:rFonts w:ascii="Times New Roman" w:hAnsi="Times New Roman" w:cs="Times New Roman"/>
        </w:rPr>
        <w:t>Общая сумма увеличения объема зарегистрированных в 2017 г. выпусков акций акционерных обществ составила 2 592,9 млн рублей, общая сумма уменьшения – 624,0 млн рублей. При этом объем выпусков акций закрытых акционерных обществ увеличился в 1,9 раза по сравнению с аналогичным периодом прошлого года и составил 341,7 млн рублей; объем выпусков акций открытых акционерных обществ уменьшился на 41,1 % и составил 1 627,3 млн рублей.</w:t>
      </w:r>
    </w:p>
    <w:p w:rsidR="008F4BC9" w:rsidRDefault="008F4BC9" w:rsidP="008F4BC9">
      <w:pPr>
        <w:spacing w:after="0" w:line="240" w:lineRule="auto"/>
        <w:ind w:firstLine="567"/>
        <w:jc w:val="both"/>
        <w:rPr>
          <w:rFonts w:ascii="Times New Roman" w:hAnsi="Times New Roman" w:cs="Times New Roman"/>
        </w:rPr>
      </w:pPr>
      <w:r w:rsidRPr="00431528">
        <w:rPr>
          <w:rFonts w:ascii="Times New Roman" w:hAnsi="Times New Roman" w:cs="Times New Roman"/>
        </w:rPr>
        <w:t>Сумма сделок с акциями в 2017 г. со</w:t>
      </w:r>
      <w:r>
        <w:rPr>
          <w:rFonts w:ascii="Times New Roman" w:hAnsi="Times New Roman" w:cs="Times New Roman"/>
        </w:rPr>
        <w:t xml:space="preserve">ставила 820,9 млн рублей, что в </w:t>
      </w:r>
      <w:r w:rsidRPr="00431528">
        <w:rPr>
          <w:rFonts w:ascii="Times New Roman" w:hAnsi="Times New Roman" w:cs="Times New Roman"/>
        </w:rPr>
        <w:t xml:space="preserve">2,3 раза больше, чем в 2016 г. При </w:t>
      </w:r>
      <w:r>
        <w:rPr>
          <w:rFonts w:ascii="Times New Roman" w:hAnsi="Times New Roman" w:cs="Times New Roman"/>
        </w:rPr>
        <w:t xml:space="preserve">этом сумма сделок купли-продажи </w:t>
      </w:r>
      <w:r w:rsidRPr="00431528">
        <w:rPr>
          <w:rFonts w:ascii="Times New Roman" w:hAnsi="Times New Roman" w:cs="Times New Roman"/>
        </w:rPr>
        <w:t xml:space="preserve">акций увеличилась по сравнению </w:t>
      </w:r>
      <w:r>
        <w:rPr>
          <w:rFonts w:ascii="Times New Roman" w:hAnsi="Times New Roman" w:cs="Times New Roman"/>
        </w:rPr>
        <w:t xml:space="preserve">с аналогичным периодом прошлого </w:t>
      </w:r>
      <w:r w:rsidRPr="00431528">
        <w:rPr>
          <w:rFonts w:ascii="Times New Roman" w:hAnsi="Times New Roman" w:cs="Times New Roman"/>
        </w:rPr>
        <w:t>года в 3,5 раза и составила 394,1 млн ру</w:t>
      </w:r>
      <w:r>
        <w:rPr>
          <w:rFonts w:ascii="Times New Roman" w:hAnsi="Times New Roman" w:cs="Times New Roman"/>
        </w:rPr>
        <w:t xml:space="preserve">блей. Сумма иных видов сделок с </w:t>
      </w:r>
      <w:r w:rsidRPr="00431528">
        <w:rPr>
          <w:rFonts w:ascii="Times New Roman" w:hAnsi="Times New Roman" w:cs="Times New Roman"/>
        </w:rPr>
        <w:t>акциями увеличилась в 1,7 раза и составила 426,8 млн рублей.</w:t>
      </w:r>
    </w:p>
    <w:p w:rsidR="008F4BC9"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 xml:space="preserve">Таким образом, на основных сегментах финансового рынка наблюдается постепенное улучшение ситуации, несмотря на относительно небольшие обороты на рынке корпоративных ценных бумаг по сравнению с объемами их эмиссии. </w:t>
      </w:r>
      <w:r w:rsidRPr="00D1231C">
        <w:rPr>
          <w:rFonts w:ascii="Times New Roman" w:hAnsi="Times New Roman" w:cs="Times New Roman"/>
        </w:rPr>
        <w:t>В последнее время был принят ряд нормативных актов, направленных на стимулирование</w:t>
      </w:r>
      <w:r w:rsidRPr="009D1220">
        <w:rPr>
          <w:rFonts w:ascii="Times New Roman" w:hAnsi="Times New Roman" w:cs="Times New Roman"/>
        </w:rPr>
        <w:t xml:space="preserve"> развития финансового рынка нашей страны. К ним относятся прежде </w:t>
      </w:r>
      <w:r w:rsidRPr="006F03C9">
        <w:rPr>
          <w:rFonts w:ascii="Times New Roman" w:hAnsi="Times New Roman" w:cs="Times New Roman"/>
        </w:rPr>
        <w:t xml:space="preserve">всего, </w:t>
      </w:r>
      <w:r>
        <w:rPr>
          <w:rFonts w:ascii="Times New Roman" w:hAnsi="Times New Roman" w:cs="Times New Roman"/>
        </w:rPr>
        <w:t>Постановление Совета Министров Республики Беларусь и Национального Банка Республики Беларусь от 28 марта 2017 г. № 229/6 «</w:t>
      </w:r>
      <w:r w:rsidRPr="00E462D2">
        <w:rPr>
          <w:rFonts w:ascii="Times New Roman" w:hAnsi="Times New Roman" w:cs="Times New Roman"/>
        </w:rPr>
        <w:t>О стратегии развития финансового рынка Республики Беларусь до 2020 года</w:t>
      </w:r>
      <w:r>
        <w:rPr>
          <w:rFonts w:ascii="Times New Roman" w:hAnsi="Times New Roman" w:cs="Times New Roman"/>
        </w:rPr>
        <w:t>», Закон Республики Беларусь от 17 июля 2017 г. № 52-З «</w:t>
      </w:r>
      <w:r w:rsidRPr="00941E85">
        <w:rPr>
          <w:rFonts w:ascii="Times New Roman" w:hAnsi="Times New Roman" w:cs="Times New Roman"/>
        </w:rPr>
        <w:t>Об инвестиционных фондах</w:t>
      </w:r>
      <w:r>
        <w:rPr>
          <w:rFonts w:ascii="Times New Roman" w:hAnsi="Times New Roman" w:cs="Times New Roman"/>
        </w:rPr>
        <w:t>», а также ряд других документов.  В них поставлены задачи по достижению достаточно глобальных</w:t>
      </w:r>
      <w:r w:rsidRPr="009D1220">
        <w:rPr>
          <w:rFonts w:ascii="Times New Roman" w:hAnsi="Times New Roman" w:cs="Times New Roman"/>
        </w:rPr>
        <w:t xml:space="preserve"> и всеобъемлющи</w:t>
      </w:r>
      <w:r>
        <w:rPr>
          <w:rFonts w:ascii="Times New Roman" w:hAnsi="Times New Roman" w:cs="Times New Roman"/>
        </w:rPr>
        <w:t>х целей в данной сфере</w:t>
      </w:r>
      <w:r w:rsidRPr="009D1220">
        <w:rPr>
          <w:rFonts w:ascii="Times New Roman" w:hAnsi="Times New Roman" w:cs="Times New Roman"/>
        </w:rPr>
        <w:t xml:space="preserve">. Например, </w:t>
      </w:r>
      <w:r>
        <w:rPr>
          <w:rFonts w:ascii="Times New Roman" w:hAnsi="Times New Roman" w:cs="Times New Roman"/>
        </w:rPr>
        <w:t xml:space="preserve">стратегия развития финансового рынка Республики Беларусь акцентирует внимание на таких направлениях </w:t>
      </w:r>
      <w:r w:rsidRPr="006F03C9">
        <w:rPr>
          <w:rFonts w:ascii="Times New Roman" w:hAnsi="Times New Roman" w:cs="Times New Roman"/>
        </w:rPr>
        <w:t>как</w:t>
      </w:r>
      <w:r>
        <w:rPr>
          <w:rFonts w:ascii="Times New Roman" w:hAnsi="Times New Roman" w:cs="Times New Roman"/>
        </w:rPr>
        <w:t xml:space="preserve"> формирование полноценного, структурно развитого финансового рынка; устранение на нем основных дисбалансов; активизация конкуренции; активизация сберегательного</w:t>
      </w:r>
      <w:r w:rsidRPr="00E462D2">
        <w:rPr>
          <w:rFonts w:ascii="Times New Roman" w:hAnsi="Times New Roman" w:cs="Times New Roman"/>
        </w:rPr>
        <w:t xml:space="preserve"> процесс</w:t>
      </w:r>
      <w:r>
        <w:rPr>
          <w:rFonts w:ascii="Times New Roman" w:hAnsi="Times New Roman" w:cs="Times New Roman"/>
        </w:rPr>
        <w:t>а, вовлечение в него широких слоев населения и возрождение долгосрочных форм</w:t>
      </w:r>
      <w:r w:rsidRPr="00E462D2">
        <w:rPr>
          <w:rFonts w:ascii="Times New Roman" w:hAnsi="Times New Roman" w:cs="Times New Roman"/>
        </w:rPr>
        <w:t xml:space="preserve"> сбережений</w:t>
      </w:r>
      <w:r>
        <w:rPr>
          <w:rFonts w:ascii="Times New Roman" w:hAnsi="Times New Roman" w:cs="Times New Roman"/>
        </w:rPr>
        <w:t>; развитие организационной инфраструктуры</w:t>
      </w:r>
      <w:r w:rsidRPr="00E462D2">
        <w:rPr>
          <w:rFonts w:ascii="Times New Roman" w:hAnsi="Times New Roman" w:cs="Times New Roman"/>
        </w:rPr>
        <w:t xml:space="preserve"> финансового рынка для координации ключевых направлений политики в финансово-экономической сфере, включая макроэкономическую, валютную, монетарную, налоговую и бюджетную политику.</w:t>
      </w:r>
      <w:r w:rsidRPr="009D1220">
        <w:rPr>
          <w:rFonts w:ascii="Times New Roman" w:hAnsi="Times New Roman" w:cs="Times New Roman"/>
        </w:rPr>
        <w:t xml:space="preserve">  Конечно, </w:t>
      </w:r>
      <w:r>
        <w:rPr>
          <w:rFonts w:ascii="Times New Roman" w:hAnsi="Times New Roman" w:cs="Times New Roman"/>
        </w:rPr>
        <w:t xml:space="preserve">все они достаточно важны и </w:t>
      </w:r>
      <w:r w:rsidRPr="009D1220">
        <w:rPr>
          <w:rFonts w:ascii="Times New Roman" w:hAnsi="Times New Roman" w:cs="Times New Roman"/>
        </w:rPr>
        <w:t xml:space="preserve">с ними нельзя не согласиться. Однако отметим, что с точки зрения сегодняшних реалий наиболее важная цель развития финансового рынка – обеспечить </w:t>
      </w:r>
      <w:r>
        <w:rPr>
          <w:rFonts w:ascii="Times New Roman" w:hAnsi="Times New Roman" w:cs="Times New Roman"/>
        </w:rPr>
        <w:t>хозяйствующим субъектам</w:t>
      </w:r>
      <w:r w:rsidRPr="009D1220">
        <w:rPr>
          <w:rFonts w:ascii="Times New Roman" w:hAnsi="Times New Roman" w:cs="Times New Roman"/>
        </w:rPr>
        <w:t xml:space="preserve"> альтернативный (по отношению к банковским кредитам) путь доступа к финансовым ресурсам. Несмотря на снижение процентных ставок</w:t>
      </w:r>
      <w:r>
        <w:rPr>
          <w:rFonts w:ascii="Times New Roman" w:hAnsi="Times New Roman" w:cs="Times New Roman"/>
        </w:rPr>
        <w:t xml:space="preserve"> в банковской системе, не все из них могут воспользоваться </w:t>
      </w:r>
      <w:r w:rsidRPr="006F03C9">
        <w:rPr>
          <w:rFonts w:ascii="Times New Roman" w:hAnsi="Times New Roman" w:cs="Times New Roman"/>
        </w:rPr>
        <w:t xml:space="preserve">этим </w:t>
      </w:r>
      <w:r>
        <w:rPr>
          <w:rFonts w:ascii="Times New Roman" w:hAnsi="Times New Roman" w:cs="Times New Roman"/>
        </w:rPr>
        <w:t xml:space="preserve">как в силу своего финансового состояния, так и из-за ограниченности ресурсов банковской системы в целом.  </w:t>
      </w:r>
    </w:p>
    <w:p w:rsidR="008F4BC9"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 xml:space="preserve">С нашей точки зрения необходимо, воспользовавшись благоприятной макроэкономической ситуацией, срочно разработать и осуществить комплекс мероприятий по привлечению средств физических лиц на рынок корпоративных ценных бумаг. Наиболее важными из них, по нашему представлению, являются продолжение работы по повышению финансовой грамотности населения путем размещения доступной и хорошо подготовленной информации о возможностях, рисках и практических путях осуществления инвестиций в корпоративные ценные бумаги, создание возможностей для осуществления коллективных инвестиций на национальном рынке ценных </w:t>
      </w:r>
      <w:r>
        <w:rPr>
          <w:rFonts w:ascii="Times New Roman" w:hAnsi="Times New Roman" w:cs="Times New Roman"/>
        </w:rPr>
        <w:lastRenderedPageBreak/>
        <w:t>бумаг, предоставление налоговых льгот инвесторам – физическим лицам на период не менее 10-15 лет; регулярный расчет и публикацию национальных фондовых индексов.</w:t>
      </w:r>
    </w:p>
    <w:p w:rsidR="008F4BC9" w:rsidRDefault="008F4BC9" w:rsidP="008F4BC9">
      <w:pPr>
        <w:spacing w:after="0" w:line="240" w:lineRule="auto"/>
        <w:ind w:firstLine="567"/>
        <w:jc w:val="both"/>
        <w:rPr>
          <w:rFonts w:ascii="Times New Roman" w:hAnsi="Times New Roman" w:cs="Times New Roman"/>
        </w:rPr>
      </w:pPr>
      <w:r>
        <w:rPr>
          <w:rFonts w:ascii="Times New Roman" w:hAnsi="Times New Roman" w:cs="Times New Roman"/>
        </w:rPr>
        <w:t xml:space="preserve">Осуществление таких мероприятий позволит решить сразу несколько задач. Во-первых, снизить спрос на иностранную валюту в условиях относительной стабильности ее курса, несмотря на наметившуюся тенденцию к росту доходов населения. Это, в свою очередь, облегчит достижение такой цели денежно-кредитной политики, как дедолларизация экономики. Во-вторых, это расширит инвестиционные возможности населения в условиях снижения доходности банковских депозитов. В-третьих, и сейчас это наиболее важно, откроет доступ субъектам хозяйствования к более дешевым финансовым ресурсам, а также в дальнейшем создаст более благоприятные условия для достижения других целей развития финансового рынка в Республике Беларусь.  </w:t>
      </w:r>
    </w:p>
    <w:p w:rsidR="008F4BC9" w:rsidRDefault="008F4BC9" w:rsidP="008F4BC9">
      <w:pPr>
        <w:spacing w:after="0" w:line="240" w:lineRule="auto"/>
        <w:ind w:firstLine="567"/>
        <w:jc w:val="both"/>
        <w:rPr>
          <w:rFonts w:ascii="Times New Roman" w:hAnsi="Times New Roman" w:cs="Times New Roman"/>
        </w:rPr>
      </w:pPr>
    </w:p>
    <w:p w:rsidR="008F4BC9" w:rsidRPr="00F046A1" w:rsidRDefault="008F4BC9" w:rsidP="008F4BC9">
      <w:pPr>
        <w:spacing w:after="0" w:line="240" w:lineRule="auto"/>
        <w:ind w:left="360"/>
        <w:jc w:val="center"/>
        <w:rPr>
          <w:rFonts w:ascii="Times New Roman" w:hAnsi="Times New Roman" w:cs="Times New Roman"/>
        </w:rPr>
      </w:pPr>
      <w:r w:rsidRPr="00F046A1">
        <w:rPr>
          <w:rFonts w:ascii="Times New Roman" w:hAnsi="Times New Roman" w:cs="Times New Roman"/>
        </w:rPr>
        <w:t>Литература</w:t>
      </w:r>
    </w:p>
    <w:p w:rsidR="008F4BC9" w:rsidRPr="00F046A1" w:rsidRDefault="008F4BC9" w:rsidP="008F4BC9">
      <w:pPr>
        <w:pStyle w:val="a3"/>
        <w:numPr>
          <w:ilvl w:val="0"/>
          <w:numId w:val="1"/>
        </w:numPr>
        <w:spacing w:after="0" w:line="240" w:lineRule="auto"/>
        <w:ind w:left="0" w:firstLine="0"/>
        <w:jc w:val="both"/>
        <w:rPr>
          <w:rFonts w:ascii="Times New Roman" w:hAnsi="Times New Roman" w:cs="Times New Roman"/>
        </w:rPr>
      </w:pPr>
      <w:r w:rsidRPr="00F046A1">
        <w:rPr>
          <w:rFonts w:ascii="Times New Roman" w:hAnsi="Times New Roman" w:cs="Times New Roman"/>
        </w:rPr>
        <w:t>Ковалев, В.В. Введение в финансовый менеджмент</w:t>
      </w:r>
      <w:r>
        <w:rPr>
          <w:rFonts w:ascii="Times New Roman" w:hAnsi="Times New Roman" w:cs="Times New Roman"/>
        </w:rPr>
        <w:t xml:space="preserve"> </w:t>
      </w:r>
      <w:r w:rsidRPr="00F046A1">
        <w:rPr>
          <w:rFonts w:ascii="Times New Roman" w:hAnsi="Times New Roman" w:cs="Times New Roman"/>
        </w:rPr>
        <w:t>/</w:t>
      </w:r>
      <w:r>
        <w:rPr>
          <w:rFonts w:ascii="Times New Roman" w:hAnsi="Times New Roman" w:cs="Times New Roman"/>
        </w:rPr>
        <w:t xml:space="preserve"> </w:t>
      </w:r>
      <w:r w:rsidRPr="00F046A1">
        <w:rPr>
          <w:rFonts w:ascii="Times New Roman" w:hAnsi="Times New Roman" w:cs="Times New Roman"/>
        </w:rPr>
        <w:t>В.В. Ковалев. – М.: Финансы и статистика, 2003. – 768 с.</w:t>
      </w:r>
    </w:p>
    <w:p w:rsidR="008F4BC9" w:rsidRPr="00F046A1" w:rsidRDefault="008F4BC9" w:rsidP="008F4BC9">
      <w:pPr>
        <w:pStyle w:val="a3"/>
        <w:numPr>
          <w:ilvl w:val="0"/>
          <w:numId w:val="1"/>
        </w:numPr>
        <w:spacing w:after="0" w:line="240" w:lineRule="auto"/>
        <w:ind w:left="0" w:firstLine="0"/>
        <w:jc w:val="both"/>
        <w:rPr>
          <w:rFonts w:ascii="Times New Roman" w:hAnsi="Times New Roman" w:cs="Times New Roman"/>
        </w:rPr>
      </w:pPr>
      <w:r w:rsidRPr="00F046A1">
        <w:rPr>
          <w:rFonts w:ascii="Times New Roman" w:hAnsi="Times New Roman" w:cs="Times New Roman"/>
        </w:rPr>
        <w:t>Покупка-продажа иностранной валюты на внутреннем рынке [Электронный ресурс]</w:t>
      </w:r>
      <w:r>
        <w:rPr>
          <w:rFonts w:ascii="Times New Roman" w:hAnsi="Times New Roman" w:cs="Times New Roman"/>
        </w:rPr>
        <w:t xml:space="preserve"> </w:t>
      </w:r>
      <w:r w:rsidRPr="00F046A1">
        <w:rPr>
          <w:rFonts w:ascii="Times New Roman" w:hAnsi="Times New Roman" w:cs="Times New Roman"/>
        </w:rPr>
        <w:t>// Режим доступа: http://www.nbrb.by/statistics/FinancialMarkets/ForexMarket</w:t>
      </w:r>
      <w:r>
        <w:rPr>
          <w:rFonts w:ascii="Times New Roman" w:hAnsi="Times New Roman" w:cs="Times New Roman"/>
        </w:rPr>
        <w:t>. - Дата доступа: 22.05.2018.</w:t>
      </w:r>
    </w:p>
    <w:p w:rsidR="008F4BC9" w:rsidRPr="00F046A1" w:rsidRDefault="008F4BC9" w:rsidP="008F4BC9">
      <w:pPr>
        <w:pStyle w:val="a3"/>
        <w:numPr>
          <w:ilvl w:val="0"/>
          <w:numId w:val="1"/>
        </w:numPr>
        <w:spacing w:after="0" w:line="240" w:lineRule="auto"/>
        <w:ind w:left="0" w:firstLine="0"/>
        <w:jc w:val="both"/>
        <w:rPr>
          <w:rFonts w:ascii="Times New Roman" w:hAnsi="Times New Roman" w:cs="Times New Roman"/>
        </w:rPr>
      </w:pPr>
      <w:r w:rsidRPr="00F046A1">
        <w:rPr>
          <w:rFonts w:ascii="Times New Roman" w:hAnsi="Times New Roman" w:cs="Times New Roman"/>
        </w:rPr>
        <w:t xml:space="preserve">Динамика ставок кредитно-депозитного рынка </w:t>
      </w:r>
      <w:r>
        <w:rPr>
          <w:rFonts w:ascii="Times New Roman" w:hAnsi="Times New Roman" w:cs="Times New Roman"/>
        </w:rPr>
        <w:t xml:space="preserve">[Электронный ресурс] </w:t>
      </w:r>
      <w:r w:rsidRPr="00F046A1">
        <w:rPr>
          <w:rFonts w:ascii="Times New Roman" w:hAnsi="Times New Roman" w:cs="Times New Roman"/>
        </w:rPr>
        <w:t>// Режим доступа:</w:t>
      </w:r>
      <w:r>
        <w:rPr>
          <w:rFonts w:ascii="Times New Roman" w:hAnsi="Times New Roman" w:cs="Times New Roman"/>
        </w:rPr>
        <w:t xml:space="preserve"> </w:t>
      </w:r>
      <w:r w:rsidRPr="00F046A1">
        <w:rPr>
          <w:rFonts w:ascii="Times New Roman" w:hAnsi="Times New Roman" w:cs="Times New Roman"/>
        </w:rPr>
        <w:t>http://www.nbrb.by/statistics/CreditDepositMarketRates/</w:t>
      </w:r>
      <w:r>
        <w:rPr>
          <w:rFonts w:ascii="Times New Roman" w:hAnsi="Times New Roman" w:cs="Times New Roman"/>
        </w:rPr>
        <w:t>. – Дата доступа: 24.03.2018</w:t>
      </w:r>
    </w:p>
    <w:p w:rsidR="008F4BC9" w:rsidRPr="00F046A1" w:rsidRDefault="008F4BC9" w:rsidP="008F4BC9">
      <w:pPr>
        <w:pStyle w:val="a3"/>
        <w:numPr>
          <w:ilvl w:val="0"/>
          <w:numId w:val="1"/>
        </w:numPr>
        <w:spacing w:after="0" w:line="240" w:lineRule="auto"/>
        <w:ind w:left="0" w:firstLine="0"/>
        <w:jc w:val="both"/>
        <w:rPr>
          <w:rFonts w:ascii="Times New Roman" w:hAnsi="Times New Roman" w:cs="Times New Roman"/>
        </w:rPr>
      </w:pPr>
      <w:r w:rsidRPr="00F046A1">
        <w:rPr>
          <w:rFonts w:ascii="Times New Roman" w:hAnsi="Times New Roman" w:cs="Times New Roman"/>
        </w:rPr>
        <w:t>Отчет о работе Департамента по ценным бумагам Министерства финансов в 2017 году</w:t>
      </w:r>
      <w:r>
        <w:rPr>
          <w:rFonts w:ascii="Times New Roman" w:hAnsi="Times New Roman" w:cs="Times New Roman"/>
        </w:rPr>
        <w:t xml:space="preserve"> </w:t>
      </w:r>
      <w:r w:rsidRPr="00F046A1">
        <w:rPr>
          <w:rFonts w:ascii="Times New Roman" w:hAnsi="Times New Roman" w:cs="Times New Roman"/>
        </w:rPr>
        <w:t xml:space="preserve">[Электронный ресурс] </w:t>
      </w:r>
      <w:r>
        <w:rPr>
          <w:rFonts w:ascii="Times New Roman" w:hAnsi="Times New Roman" w:cs="Times New Roman"/>
        </w:rPr>
        <w:t xml:space="preserve">// Режим доступа: </w:t>
      </w:r>
      <w:r w:rsidRPr="00F046A1">
        <w:rPr>
          <w:rFonts w:ascii="Times New Roman" w:hAnsi="Times New Roman" w:cs="Times New Roman"/>
        </w:rPr>
        <w:t>http://www.minfin.gov.by/upload/depcen/otchet/</w:t>
      </w:r>
      <w:r>
        <w:rPr>
          <w:rFonts w:ascii="Times New Roman" w:hAnsi="Times New Roman" w:cs="Times New Roman"/>
        </w:rPr>
        <w:t xml:space="preserve"> </w:t>
      </w:r>
      <w:r w:rsidRPr="00F046A1">
        <w:rPr>
          <w:rFonts w:ascii="Times New Roman" w:hAnsi="Times New Roman" w:cs="Times New Roman"/>
        </w:rPr>
        <w:t>dcb2017.pdf</w:t>
      </w:r>
      <w:r>
        <w:rPr>
          <w:rFonts w:ascii="Times New Roman" w:hAnsi="Times New Roman" w:cs="Times New Roman"/>
        </w:rPr>
        <w:t>. – Дата доступа: 16.05.2018.</w:t>
      </w:r>
    </w:p>
    <w:p w:rsidR="003F41B2" w:rsidRDefault="003F41B2" w:rsidP="008F4BC9">
      <w:bookmarkStart w:id="0" w:name="_GoBack"/>
      <w:bookmarkEnd w:id="0"/>
    </w:p>
    <w:sectPr w:rsidR="003F4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D7DE9"/>
    <w:multiLevelType w:val="hybridMultilevel"/>
    <w:tmpl w:val="7030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C9"/>
    <w:rsid w:val="003F41B2"/>
    <w:rsid w:val="008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3CB7-9716-4965-90B3-9725C20D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8F4BC9"/>
    <w:pPr>
      <w:spacing w:after="120" w:line="480" w:lineRule="auto"/>
    </w:pPr>
  </w:style>
  <w:style w:type="character" w:customStyle="1" w:styleId="20">
    <w:name w:val="Основной текст 2 Знак"/>
    <w:basedOn w:val="a0"/>
    <w:link w:val="2"/>
    <w:uiPriority w:val="99"/>
    <w:semiHidden/>
    <w:rsid w:val="008F4BC9"/>
  </w:style>
  <w:style w:type="paragraph" w:styleId="a3">
    <w:name w:val="List Paragraph"/>
    <w:basedOn w:val="a"/>
    <w:uiPriority w:val="34"/>
    <w:qFormat/>
    <w:rsid w:val="008F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TTN</dc:creator>
  <cp:keywords/>
  <dc:description/>
  <cp:lastModifiedBy>TTN</cp:lastModifiedBy>
  <cp:revision>1</cp:revision>
  <dcterms:created xsi:type="dcterms:W3CDTF">2018-08-27T21:35:00Z</dcterms:created>
  <dcterms:modified xsi:type="dcterms:W3CDTF">2018-08-27T21:42:00Z</dcterms:modified>
</cp:coreProperties>
</file>