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9D" w:rsidRDefault="000E749D" w:rsidP="000E749D">
      <w:pPr>
        <w:spacing w:after="0" w:line="360" w:lineRule="exact"/>
        <w:jc w:val="center"/>
        <w:rPr>
          <w:rFonts w:ascii="Times New Roman" w:hAnsi="Times New Roman"/>
          <w:b/>
          <w:sz w:val="32"/>
          <w:szCs w:val="32"/>
        </w:rPr>
      </w:pPr>
      <w:r>
        <w:rPr>
          <w:rFonts w:ascii="Times New Roman" w:hAnsi="Times New Roman"/>
          <w:b/>
          <w:sz w:val="32"/>
          <w:szCs w:val="32"/>
        </w:rPr>
        <w:t>РЕФЕРАТ</w:t>
      </w:r>
    </w:p>
    <w:p w:rsidR="000E749D" w:rsidRDefault="000E749D" w:rsidP="000E749D">
      <w:pPr>
        <w:spacing w:after="0" w:line="360" w:lineRule="exact"/>
        <w:jc w:val="center"/>
        <w:rPr>
          <w:rFonts w:ascii="Times New Roman" w:hAnsi="Times New Roman"/>
          <w:sz w:val="28"/>
          <w:szCs w:val="28"/>
        </w:rPr>
      </w:pPr>
      <w:r>
        <w:rPr>
          <w:rFonts w:ascii="Times New Roman" w:hAnsi="Times New Roman"/>
          <w:b/>
          <w:sz w:val="28"/>
          <w:szCs w:val="28"/>
        </w:rPr>
        <w:t>Кащея Ивана Михайловича</w:t>
      </w:r>
    </w:p>
    <w:p w:rsidR="000E749D" w:rsidRDefault="000E749D" w:rsidP="000E749D">
      <w:pPr>
        <w:spacing w:after="0" w:line="360" w:lineRule="exact"/>
        <w:ind w:firstLine="709"/>
        <w:jc w:val="center"/>
        <w:rPr>
          <w:rFonts w:ascii="Times New Roman" w:hAnsi="Times New Roman"/>
          <w:b/>
          <w:sz w:val="28"/>
          <w:szCs w:val="28"/>
        </w:rPr>
      </w:pPr>
      <w:r>
        <w:rPr>
          <w:rFonts w:ascii="Times New Roman" w:hAnsi="Times New Roman"/>
          <w:b/>
          <w:sz w:val="28"/>
          <w:szCs w:val="28"/>
        </w:rPr>
        <w:t xml:space="preserve">Отношения Великого княжества Литовского </w:t>
      </w:r>
    </w:p>
    <w:p w:rsidR="000E749D" w:rsidRDefault="000E749D" w:rsidP="000E749D">
      <w:pPr>
        <w:spacing w:after="0" w:line="360" w:lineRule="exact"/>
        <w:ind w:firstLine="709"/>
        <w:jc w:val="center"/>
        <w:rPr>
          <w:rFonts w:ascii="Times New Roman" w:hAnsi="Times New Roman"/>
          <w:b/>
          <w:sz w:val="28"/>
          <w:szCs w:val="28"/>
        </w:rPr>
      </w:pPr>
      <w:r>
        <w:rPr>
          <w:rFonts w:ascii="Times New Roman" w:hAnsi="Times New Roman"/>
          <w:b/>
          <w:sz w:val="28"/>
          <w:szCs w:val="28"/>
        </w:rPr>
        <w:t xml:space="preserve">с Тевтонским орденом в середине XIV – первой трети XV </w:t>
      </w:r>
      <w:proofErr w:type="gramStart"/>
      <w:r>
        <w:rPr>
          <w:rFonts w:ascii="Times New Roman" w:hAnsi="Times New Roman"/>
          <w:b/>
          <w:sz w:val="28"/>
          <w:szCs w:val="28"/>
        </w:rPr>
        <w:t>в</w:t>
      </w:r>
      <w:proofErr w:type="gramEnd"/>
      <w:r>
        <w:rPr>
          <w:rFonts w:ascii="Times New Roman" w:hAnsi="Times New Roman"/>
          <w:b/>
          <w:sz w:val="28"/>
          <w:szCs w:val="28"/>
        </w:rPr>
        <w:t>.</w:t>
      </w:r>
    </w:p>
    <w:p w:rsidR="000E749D" w:rsidRDefault="000E749D" w:rsidP="000E749D">
      <w:pPr>
        <w:spacing w:after="0" w:line="360" w:lineRule="exact"/>
        <w:ind w:firstLine="709"/>
        <w:jc w:val="center"/>
        <w:rPr>
          <w:rFonts w:ascii="Times New Roman" w:hAnsi="Times New Roman"/>
          <w:b/>
          <w:sz w:val="28"/>
          <w:szCs w:val="28"/>
        </w:rPr>
      </w:pPr>
    </w:p>
    <w:p w:rsidR="000E749D" w:rsidRDefault="000E749D" w:rsidP="000E749D">
      <w:pPr>
        <w:spacing w:after="0" w:line="360" w:lineRule="exact"/>
        <w:jc w:val="both"/>
        <w:rPr>
          <w:rFonts w:ascii="Times New Roman" w:hAnsi="Times New Roman"/>
          <w:sz w:val="28"/>
          <w:szCs w:val="28"/>
        </w:rPr>
      </w:pPr>
      <w:r>
        <w:rPr>
          <w:rFonts w:ascii="Times New Roman" w:hAnsi="Times New Roman"/>
          <w:b/>
          <w:sz w:val="28"/>
          <w:szCs w:val="28"/>
        </w:rPr>
        <w:t>Ключевые слова</w:t>
      </w:r>
      <w:r>
        <w:rPr>
          <w:rFonts w:ascii="Times New Roman" w:hAnsi="Times New Roman"/>
          <w:sz w:val="28"/>
          <w:szCs w:val="28"/>
        </w:rPr>
        <w:t>: Великое Княжество Литовское, Тевтонский орден, Великая война, Грюнвальдская битва, Кревская уния, Островское соглашение, битва на реке Стреве.</w:t>
      </w:r>
    </w:p>
    <w:p w:rsidR="000E749D" w:rsidRDefault="000E749D" w:rsidP="000E749D">
      <w:pPr>
        <w:spacing w:after="0" w:line="360" w:lineRule="atLeast"/>
        <w:jc w:val="both"/>
        <w:rPr>
          <w:rFonts w:ascii="Times New Roman" w:hAnsi="Times New Roman"/>
          <w:sz w:val="28"/>
          <w:szCs w:val="28"/>
        </w:rPr>
      </w:pPr>
      <w:r>
        <w:rPr>
          <w:rFonts w:ascii="Times New Roman" w:hAnsi="Times New Roman"/>
          <w:b/>
          <w:sz w:val="28"/>
          <w:szCs w:val="28"/>
        </w:rPr>
        <w:t>Объект исследования:</w:t>
      </w:r>
      <w:r>
        <w:rPr>
          <w:rFonts w:ascii="Times New Roman" w:hAnsi="Times New Roman"/>
          <w:sz w:val="28"/>
          <w:szCs w:val="28"/>
        </w:rPr>
        <w:t xml:space="preserve"> внешняя политика Великого княжества Литовского в середине XIV – первой трети XV </w:t>
      </w:r>
      <w:proofErr w:type="gramStart"/>
      <w:r>
        <w:rPr>
          <w:rFonts w:ascii="Times New Roman" w:hAnsi="Times New Roman"/>
          <w:sz w:val="28"/>
          <w:szCs w:val="28"/>
        </w:rPr>
        <w:t>в</w:t>
      </w:r>
      <w:proofErr w:type="gramEnd"/>
      <w:r>
        <w:rPr>
          <w:rFonts w:ascii="Times New Roman" w:hAnsi="Times New Roman"/>
          <w:sz w:val="28"/>
          <w:szCs w:val="28"/>
        </w:rPr>
        <w:t>.</w:t>
      </w:r>
    </w:p>
    <w:p w:rsidR="000E749D" w:rsidRDefault="000E749D" w:rsidP="000E749D">
      <w:pPr>
        <w:spacing w:after="0" w:line="360" w:lineRule="atLeast"/>
        <w:jc w:val="both"/>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xml:space="preserve"> отношения Великого княжества Литовского с Тевтонским Орденом в середине XIV – первой трети XV </w:t>
      </w:r>
      <w:proofErr w:type="gramStart"/>
      <w:r>
        <w:rPr>
          <w:rFonts w:ascii="Times New Roman" w:hAnsi="Times New Roman"/>
          <w:sz w:val="28"/>
          <w:szCs w:val="28"/>
        </w:rPr>
        <w:t>в</w:t>
      </w:r>
      <w:proofErr w:type="gramEnd"/>
      <w:r>
        <w:rPr>
          <w:rFonts w:ascii="Times New Roman" w:hAnsi="Times New Roman"/>
          <w:sz w:val="28"/>
          <w:szCs w:val="28"/>
        </w:rPr>
        <w:t>.</w:t>
      </w:r>
    </w:p>
    <w:p w:rsidR="000E749D" w:rsidRDefault="000E749D" w:rsidP="000E749D">
      <w:pPr>
        <w:spacing w:after="0" w:line="360" w:lineRule="exact"/>
        <w:jc w:val="both"/>
        <w:rPr>
          <w:rFonts w:ascii="Times New Roman" w:hAnsi="Times New Roman"/>
          <w:sz w:val="28"/>
          <w:szCs w:val="28"/>
          <w:highlight w:val="yellow"/>
        </w:rPr>
      </w:pPr>
      <w:r>
        <w:rPr>
          <w:rFonts w:ascii="Times New Roman" w:hAnsi="Times New Roman"/>
          <w:b/>
          <w:sz w:val="28"/>
          <w:szCs w:val="28"/>
        </w:rPr>
        <w:t>Цель</w:t>
      </w:r>
      <w:r>
        <w:t xml:space="preserve"> </w:t>
      </w:r>
      <w:r>
        <w:rPr>
          <w:rFonts w:ascii="Times New Roman" w:hAnsi="Times New Roman"/>
          <w:b/>
          <w:sz w:val="28"/>
          <w:szCs w:val="28"/>
        </w:rPr>
        <w:t>работы:</w:t>
      </w:r>
      <w:r>
        <w:rPr>
          <w:rFonts w:ascii="Times New Roman" w:hAnsi="Times New Roman"/>
          <w:sz w:val="28"/>
          <w:szCs w:val="28"/>
        </w:rPr>
        <w:t xml:space="preserve"> выявление основных тенденций  и особенностей отношений Великого княжества Литовского </w:t>
      </w:r>
      <w:r>
        <w:rPr>
          <w:rFonts w:ascii="Times New Roman" w:hAnsi="Times New Roman"/>
          <w:sz w:val="28"/>
          <w:szCs w:val="28"/>
          <w:lang w:val="be-BY"/>
        </w:rPr>
        <w:t>с</w:t>
      </w:r>
      <w:r>
        <w:rPr>
          <w:rFonts w:ascii="Times New Roman" w:hAnsi="Times New Roman"/>
          <w:sz w:val="28"/>
          <w:szCs w:val="28"/>
        </w:rPr>
        <w:t xml:space="preserve"> Тевтонским Орденом в годы правления трех великих князей – Ольгерда, Ягайло и Витовта.</w:t>
      </w:r>
    </w:p>
    <w:p w:rsidR="000E749D" w:rsidRDefault="000E749D" w:rsidP="000E749D">
      <w:pPr>
        <w:spacing w:after="0" w:line="360" w:lineRule="atLeast"/>
        <w:jc w:val="both"/>
        <w:rPr>
          <w:rFonts w:ascii="Times New Roman" w:hAnsi="Times New Roman"/>
          <w:sz w:val="28"/>
          <w:szCs w:val="28"/>
        </w:rPr>
      </w:pPr>
      <w:r>
        <w:rPr>
          <w:rFonts w:ascii="Times New Roman" w:hAnsi="Times New Roman"/>
          <w:b/>
          <w:sz w:val="28"/>
          <w:szCs w:val="28"/>
        </w:rPr>
        <w:t xml:space="preserve">Методы исследования. </w:t>
      </w:r>
      <w:r>
        <w:rPr>
          <w:rFonts w:ascii="Times New Roman" w:hAnsi="Times New Roman"/>
          <w:sz w:val="28"/>
          <w:szCs w:val="28"/>
        </w:rPr>
        <w:t xml:space="preserve">Теоретическую основу дипломной работы составляют общенаучные и специально-исторические методы. </w:t>
      </w:r>
    </w:p>
    <w:p w:rsidR="000E749D" w:rsidRDefault="000E749D" w:rsidP="000E749D">
      <w:pPr>
        <w:spacing w:after="0" w:line="360" w:lineRule="atLeast"/>
        <w:jc w:val="both"/>
        <w:rPr>
          <w:rFonts w:ascii="Times New Roman" w:hAnsi="Times New Roman"/>
          <w:sz w:val="28"/>
          <w:szCs w:val="28"/>
        </w:rPr>
      </w:pPr>
      <w:r>
        <w:rPr>
          <w:rFonts w:ascii="Times New Roman" w:hAnsi="Times New Roman"/>
          <w:b/>
          <w:bCs/>
          <w:sz w:val="28"/>
          <w:szCs w:val="28"/>
        </w:rPr>
        <w:t xml:space="preserve">Результаты исследования и их научная новизна. </w:t>
      </w:r>
      <w:r>
        <w:rPr>
          <w:rFonts w:ascii="Times New Roman" w:hAnsi="Times New Roman"/>
          <w:sz w:val="28"/>
          <w:szCs w:val="28"/>
        </w:rPr>
        <w:t>Во время правления каждого из трех великих князей – Ольгерда, Ягайло и Витовта можно выделить существенные черты во взаимоотношениях с Тевтонским орденом, которые во многом зависели и от личности самого князя и от внутренней и внешней политики Великого княжества Литовского. Во время правления Ольгерда совершались многочисленные походы как крестоносцев на литовские земли, так и литовцев на прусские земли. Правление Ягайло характеризуется сложной внутриполитической обстановкой, которая повлияла на взаимоотношения с Тевтонским орденом – подтолкнула к подписанию тайных соглашений. В период правления Витовта состоялась одна из самых значительных войн и сражений (Грюнвальдская битва), которая имела значение не только для противоборствующих сторон, но имела и общеевропейское значение.</w:t>
      </w:r>
    </w:p>
    <w:p w:rsidR="000E749D" w:rsidRDefault="000E749D" w:rsidP="000E749D">
      <w:pPr>
        <w:spacing w:after="0" w:line="360" w:lineRule="exact"/>
        <w:jc w:val="both"/>
        <w:rPr>
          <w:rFonts w:ascii="Times New Roman" w:hAnsi="Times New Roman"/>
          <w:sz w:val="28"/>
          <w:szCs w:val="28"/>
        </w:rPr>
      </w:pPr>
      <w:r>
        <w:rPr>
          <w:rFonts w:ascii="Times New Roman" w:hAnsi="Times New Roman"/>
          <w:b/>
          <w:sz w:val="28"/>
          <w:szCs w:val="28"/>
        </w:rPr>
        <w:t>Рекомендации по практическому использованию результатов.</w:t>
      </w:r>
      <w:r>
        <w:rPr>
          <w:rFonts w:ascii="Times New Roman" w:hAnsi="Times New Roman"/>
          <w:sz w:val="28"/>
          <w:szCs w:val="28"/>
        </w:rPr>
        <w:t xml:space="preserve"> Дипломная работа может быть использована при подготовке и изучении курсов истории внешней политики Беларуси и истории международных отношений.</w:t>
      </w:r>
    </w:p>
    <w:p w:rsidR="000E749D" w:rsidRDefault="000E749D" w:rsidP="000E749D">
      <w:pPr>
        <w:spacing w:after="0" w:line="360" w:lineRule="exact"/>
        <w:jc w:val="both"/>
        <w:rPr>
          <w:rFonts w:ascii="Times New Roman" w:hAnsi="Times New Roman"/>
          <w:sz w:val="28"/>
          <w:szCs w:val="28"/>
        </w:rPr>
      </w:pPr>
      <w:r>
        <w:rPr>
          <w:rFonts w:ascii="Times New Roman" w:hAnsi="Times New Roman"/>
          <w:b/>
          <w:sz w:val="28"/>
          <w:szCs w:val="28"/>
        </w:rPr>
        <w:t>Структура и объем дипломной работы</w:t>
      </w:r>
      <w:r>
        <w:rPr>
          <w:rFonts w:ascii="Times New Roman" w:hAnsi="Times New Roman"/>
          <w:sz w:val="28"/>
          <w:szCs w:val="28"/>
        </w:rPr>
        <w:t>:</w:t>
      </w:r>
      <w:r>
        <w:t xml:space="preserve"> </w:t>
      </w:r>
      <w:r>
        <w:rPr>
          <w:rFonts w:ascii="Times New Roman" w:hAnsi="Times New Roman"/>
          <w:sz w:val="28"/>
          <w:szCs w:val="28"/>
        </w:rPr>
        <w:t xml:space="preserve">Дипломная работа состоит из введения, четырех глав, заключения и списка использованной литературы. Дипломная работа занимает 60 страниц (из них 4 </w:t>
      </w:r>
      <w:proofErr w:type="gramStart"/>
      <w:r>
        <w:rPr>
          <w:rFonts w:ascii="Times New Roman" w:hAnsi="Times New Roman"/>
          <w:sz w:val="28"/>
          <w:szCs w:val="28"/>
        </w:rPr>
        <w:t>с</w:t>
      </w:r>
      <w:proofErr w:type="gramEnd"/>
      <w:r>
        <w:rPr>
          <w:rFonts w:ascii="Times New Roman" w:hAnsi="Times New Roman"/>
          <w:sz w:val="28"/>
          <w:szCs w:val="28"/>
        </w:rPr>
        <w:t>. – список использованной литературы(55 позиций)).</w:t>
      </w:r>
    </w:p>
    <w:p w:rsidR="000E749D" w:rsidRDefault="000E749D" w:rsidP="000E749D">
      <w:pPr>
        <w:spacing w:after="0" w:line="360" w:lineRule="exact"/>
        <w:ind w:firstLine="709"/>
        <w:jc w:val="center"/>
        <w:rPr>
          <w:rFonts w:ascii="Times New Roman" w:hAnsi="Times New Roman"/>
          <w:b/>
          <w:sz w:val="28"/>
          <w:szCs w:val="28"/>
        </w:rPr>
      </w:pPr>
    </w:p>
    <w:p w:rsidR="000E749D" w:rsidRDefault="000E749D" w:rsidP="000E749D">
      <w:pPr>
        <w:spacing w:after="0" w:line="360" w:lineRule="exact"/>
        <w:ind w:firstLine="709"/>
        <w:jc w:val="center"/>
        <w:rPr>
          <w:rFonts w:ascii="Times New Roman" w:hAnsi="Times New Roman"/>
          <w:b/>
          <w:sz w:val="32"/>
          <w:szCs w:val="32"/>
        </w:rPr>
      </w:pPr>
    </w:p>
    <w:p w:rsidR="000E749D" w:rsidRDefault="000E749D" w:rsidP="000E749D">
      <w:pPr>
        <w:spacing w:after="0" w:line="360" w:lineRule="exact"/>
        <w:ind w:firstLine="709"/>
        <w:jc w:val="center"/>
        <w:rPr>
          <w:rFonts w:ascii="Times New Roman" w:hAnsi="Times New Roman"/>
          <w:b/>
          <w:sz w:val="32"/>
          <w:szCs w:val="32"/>
          <w:lang w:val="be-BY"/>
        </w:rPr>
      </w:pPr>
      <w:r>
        <w:rPr>
          <w:rFonts w:ascii="Times New Roman" w:hAnsi="Times New Roman"/>
          <w:b/>
          <w:sz w:val="32"/>
          <w:szCs w:val="32"/>
        </w:rPr>
        <w:lastRenderedPageBreak/>
        <w:t>Р</w:t>
      </w:r>
      <w:r>
        <w:rPr>
          <w:rFonts w:ascii="Times New Roman" w:hAnsi="Times New Roman"/>
          <w:b/>
          <w:sz w:val="32"/>
          <w:szCs w:val="32"/>
          <w:lang w:val="be-BY"/>
        </w:rPr>
        <w:t>ЭФЕРАТ</w:t>
      </w:r>
    </w:p>
    <w:p w:rsidR="000E749D" w:rsidRDefault="000E749D" w:rsidP="000E749D">
      <w:pPr>
        <w:spacing w:after="0" w:line="360" w:lineRule="exact"/>
        <w:ind w:firstLine="709"/>
        <w:jc w:val="center"/>
        <w:rPr>
          <w:rFonts w:ascii="Times New Roman" w:hAnsi="Times New Roman"/>
          <w:b/>
          <w:sz w:val="28"/>
          <w:szCs w:val="28"/>
          <w:lang w:val="be-BY"/>
        </w:rPr>
      </w:pPr>
      <w:r>
        <w:rPr>
          <w:rFonts w:ascii="Times New Roman" w:hAnsi="Times New Roman"/>
          <w:b/>
          <w:sz w:val="28"/>
          <w:szCs w:val="28"/>
        </w:rPr>
        <w:t>Кашчэя Івана</w:t>
      </w:r>
      <w:r>
        <w:rPr>
          <w:rFonts w:ascii="Times New Roman" w:hAnsi="Times New Roman"/>
          <w:b/>
          <w:sz w:val="28"/>
          <w:szCs w:val="28"/>
          <w:lang w:val="be-BY"/>
        </w:rPr>
        <w:t xml:space="preserve"> Міхайлавіча</w:t>
      </w:r>
    </w:p>
    <w:p w:rsidR="000E749D" w:rsidRDefault="000E749D" w:rsidP="000E749D">
      <w:pPr>
        <w:spacing w:after="0" w:line="360" w:lineRule="exact"/>
        <w:ind w:firstLine="709"/>
        <w:jc w:val="center"/>
        <w:rPr>
          <w:rFonts w:ascii="Times New Roman" w:hAnsi="Times New Roman"/>
          <w:b/>
          <w:sz w:val="28"/>
          <w:szCs w:val="28"/>
          <w:lang w:val="be-BY"/>
        </w:rPr>
      </w:pPr>
      <w:r>
        <w:rPr>
          <w:rFonts w:ascii="Times New Roman" w:hAnsi="Times New Roman"/>
          <w:b/>
          <w:sz w:val="28"/>
          <w:szCs w:val="28"/>
          <w:lang w:val="be-BY"/>
        </w:rPr>
        <w:t xml:space="preserve">Адносіны Вялікага Княства Літоўскага з Тэўтонскім ордэнам </w:t>
      </w:r>
    </w:p>
    <w:p w:rsidR="000E749D" w:rsidRDefault="000E749D" w:rsidP="000E749D">
      <w:pPr>
        <w:spacing w:after="0" w:line="360" w:lineRule="exact"/>
        <w:ind w:firstLine="709"/>
        <w:jc w:val="center"/>
        <w:rPr>
          <w:rFonts w:ascii="Times New Roman" w:hAnsi="Times New Roman"/>
          <w:b/>
          <w:sz w:val="28"/>
          <w:szCs w:val="28"/>
          <w:lang w:val="be-BY"/>
        </w:rPr>
      </w:pPr>
      <w:r>
        <w:rPr>
          <w:rFonts w:ascii="Times New Roman" w:hAnsi="Times New Roman"/>
          <w:b/>
          <w:sz w:val="28"/>
          <w:szCs w:val="28"/>
          <w:lang w:val="be-BY"/>
        </w:rPr>
        <w:t xml:space="preserve">у сярэдзіне </w:t>
      </w:r>
      <w:r>
        <w:rPr>
          <w:rFonts w:ascii="Times New Roman" w:hAnsi="Times New Roman"/>
          <w:b/>
          <w:sz w:val="28"/>
          <w:szCs w:val="28"/>
        </w:rPr>
        <w:t>XIV</w:t>
      </w:r>
      <w:r>
        <w:rPr>
          <w:rFonts w:ascii="Times New Roman" w:hAnsi="Times New Roman"/>
          <w:b/>
          <w:sz w:val="28"/>
          <w:szCs w:val="28"/>
          <w:lang w:val="be-BY"/>
        </w:rPr>
        <w:t xml:space="preserve"> – першай трэці </w:t>
      </w:r>
      <w:r>
        <w:rPr>
          <w:rFonts w:ascii="Times New Roman" w:hAnsi="Times New Roman"/>
          <w:b/>
          <w:sz w:val="28"/>
          <w:szCs w:val="28"/>
        </w:rPr>
        <w:t>XV</w:t>
      </w:r>
      <w:r>
        <w:rPr>
          <w:rFonts w:ascii="Times New Roman" w:hAnsi="Times New Roman"/>
          <w:b/>
          <w:sz w:val="28"/>
          <w:szCs w:val="28"/>
          <w:lang w:val="be-BY"/>
        </w:rPr>
        <w:t xml:space="preserve"> ст.</w:t>
      </w:r>
    </w:p>
    <w:p w:rsidR="000E749D" w:rsidRDefault="000E749D" w:rsidP="000E749D">
      <w:pPr>
        <w:spacing w:after="0" w:line="360" w:lineRule="exact"/>
        <w:ind w:firstLine="709"/>
        <w:jc w:val="center"/>
        <w:rPr>
          <w:rFonts w:ascii="Times New Roman" w:hAnsi="Times New Roman"/>
          <w:b/>
          <w:sz w:val="28"/>
          <w:szCs w:val="28"/>
          <w:lang w:val="be-BY"/>
        </w:rPr>
      </w:pPr>
    </w:p>
    <w:p w:rsidR="000E749D" w:rsidRDefault="000E749D" w:rsidP="000E749D">
      <w:pPr>
        <w:spacing w:after="0" w:line="360" w:lineRule="exact"/>
        <w:jc w:val="both"/>
        <w:rPr>
          <w:rFonts w:ascii="Times New Roman" w:hAnsi="Times New Roman"/>
          <w:sz w:val="28"/>
          <w:szCs w:val="28"/>
          <w:lang w:val="be-BY"/>
        </w:rPr>
      </w:pPr>
      <w:r>
        <w:rPr>
          <w:rFonts w:ascii="Times New Roman" w:hAnsi="Times New Roman"/>
          <w:b/>
          <w:sz w:val="28"/>
          <w:szCs w:val="28"/>
          <w:lang w:val="be-BY"/>
        </w:rPr>
        <w:t>Ключавыя словы:</w:t>
      </w:r>
      <w:r>
        <w:rPr>
          <w:rFonts w:ascii="Times New Roman" w:hAnsi="Times New Roman"/>
          <w:sz w:val="28"/>
          <w:szCs w:val="28"/>
          <w:lang w:val="be-BY"/>
        </w:rPr>
        <w:t xml:space="preserve"> Вялікае Княства Літоўскае, Тэўтонскі ордэн, Вялікая вайна, Грунвальдзкая бітва, Крэўская унія, Астроўскай пагадненне, бітва на рацэ Стреве.</w:t>
      </w:r>
    </w:p>
    <w:p w:rsidR="000E749D" w:rsidRPr="000E749D" w:rsidRDefault="000E749D" w:rsidP="000E749D">
      <w:pPr>
        <w:spacing w:after="0" w:line="360" w:lineRule="exact"/>
        <w:jc w:val="both"/>
        <w:rPr>
          <w:rFonts w:ascii="Times New Roman" w:hAnsi="Times New Roman"/>
          <w:sz w:val="28"/>
          <w:szCs w:val="28"/>
          <w:lang w:val="be-BY"/>
        </w:rPr>
      </w:pPr>
      <w:r w:rsidRPr="000E749D">
        <w:rPr>
          <w:rFonts w:ascii="Times New Roman" w:hAnsi="Times New Roman"/>
          <w:b/>
          <w:sz w:val="28"/>
          <w:szCs w:val="28"/>
          <w:lang w:val="be-BY"/>
        </w:rPr>
        <w:t>Аб'ект даследавання:</w:t>
      </w:r>
      <w:r w:rsidRPr="000E749D">
        <w:rPr>
          <w:rFonts w:ascii="Times New Roman" w:hAnsi="Times New Roman"/>
          <w:sz w:val="28"/>
          <w:szCs w:val="28"/>
          <w:lang w:val="be-BY"/>
        </w:rPr>
        <w:t xml:space="preserve"> знешняя палітыка Вялікага княства Літоўскага ў сярэдзіне </w:t>
      </w:r>
      <w:r>
        <w:rPr>
          <w:rFonts w:ascii="Times New Roman" w:hAnsi="Times New Roman"/>
          <w:sz w:val="28"/>
          <w:szCs w:val="28"/>
        </w:rPr>
        <w:t>XIV</w:t>
      </w:r>
      <w:r w:rsidRPr="000E749D">
        <w:rPr>
          <w:rFonts w:ascii="Times New Roman" w:hAnsi="Times New Roman"/>
          <w:sz w:val="28"/>
          <w:szCs w:val="28"/>
          <w:lang w:val="be-BY"/>
        </w:rPr>
        <w:t xml:space="preserve"> - першай трэці </w:t>
      </w:r>
      <w:r>
        <w:rPr>
          <w:rFonts w:ascii="Times New Roman" w:hAnsi="Times New Roman"/>
          <w:sz w:val="28"/>
          <w:szCs w:val="28"/>
        </w:rPr>
        <w:t>XV</w:t>
      </w:r>
      <w:r w:rsidRPr="000E749D">
        <w:rPr>
          <w:rFonts w:ascii="Times New Roman" w:hAnsi="Times New Roman"/>
          <w:sz w:val="28"/>
          <w:szCs w:val="28"/>
          <w:lang w:val="be-BY"/>
        </w:rPr>
        <w:t xml:space="preserve"> ст.</w:t>
      </w:r>
    </w:p>
    <w:p w:rsidR="000E749D" w:rsidRPr="000E749D" w:rsidRDefault="000E749D" w:rsidP="000E749D">
      <w:pPr>
        <w:spacing w:after="0" w:line="360" w:lineRule="exact"/>
        <w:jc w:val="both"/>
        <w:rPr>
          <w:rFonts w:ascii="Times New Roman" w:hAnsi="Times New Roman"/>
          <w:sz w:val="28"/>
          <w:szCs w:val="28"/>
          <w:lang w:val="be-BY"/>
        </w:rPr>
      </w:pPr>
      <w:r w:rsidRPr="000E749D">
        <w:rPr>
          <w:rFonts w:ascii="Times New Roman" w:hAnsi="Times New Roman"/>
          <w:b/>
          <w:sz w:val="28"/>
          <w:szCs w:val="28"/>
          <w:lang w:val="be-BY"/>
        </w:rPr>
        <w:t xml:space="preserve">Прадмет даследавання: </w:t>
      </w:r>
      <w:r w:rsidRPr="000E749D">
        <w:rPr>
          <w:rFonts w:ascii="Times New Roman" w:hAnsi="Times New Roman"/>
          <w:sz w:val="28"/>
          <w:szCs w:val="28"/>
          <w:lang w:val="be-BY"/>
        </w:rPr>
        <w:t xml:space="preserve">адносіны Вялікага княства Літоўскага з Тэўтонскім Ордэнам у сярэдзіне </w:t>
      </w:r>
      <w:r>
        <w:rPr>
          <w:rFonts w:ascii="Times New Roman" w:hAnsi="Times New Roman"/>
          <w:sz w:val="28"/>
          <w:szCs w:val="28"/>
        </w:rPr>
        <w:t>XIV</w:t>
      </w:r>
      <w:r w:rsidRPr="000E749D">
        <w:rPr>
          <w:rFonts w:ascii="Times New Roman" w:hAnsi="Times New Roman"/>
          <w:sz w:val="28"/>
          <w:szCs w:val="28"/>
          <w:lang w:val="be-BY"/>
        </w:rPr>
        <w:t xml:space="preserve"> - першай трэці </w:t>
      </w:r>
      <w:r>
        <w:rPr>
          <w:rFonts w:ascii="Times New Roman" w:hAnsi="Times New Roman"/>
          <w:sz w:val="28"/>
          <w:szCs w:val="28"/>
        </w:rPr>
        <w:t>XV</w:t>
      </w:r>
      <w:r w:rsidRPr="000E749D">
        <w:rPr>
          <w:rFonts w:ascii="Times New Roman" w:hAnsi="Times New Roman"/>
          <w:sz w:val="28"/>
          <w:szCs w:val="28"/>
          <w:lang w:val="be-BY"/>
        </w:rPr>
        <w:t xml:space="preserve"> ст.</w:t>
      </w:r>
    </w:p>
    <w:p w:rsidR="000E749D" w:rsidRPr="000E749D" w:rsidRDefault="000E749D" w:rsidP="000E749D">
      <w:pPr>
        <w:spacing w:after="0" w:line="360" w:lineRule="exact"/>
        <w:jc w:val="both"/>
        <w:rPr>
          <w:rFonts w:ascii="Times New Roman" w:hAnsi="Times New Roman"/>
          <w:sz w:val="28"/>
          <w:szCs w:val="28"/>
          <w:lang w:val="be-BY"/>
        </w:rPr>
      </w:pPr>
      <w:r w:rsidRPr="000E749D">
        <w:rPr>
          <w:rFonts w:ascii="Times New Roman" w:hAnsi="Times New Roman"/>
          <w:b/>
          <w:sz w:val="28"/>
          <w:szCs w:val="28"/>
          <w:lang w:val="be-BY"/>
        </w:rPr>
        <w:t>Мэта працы:</w:t>
      </w:r>
      <w:r w:rsidRPr="000E749D">
        <w:rPr>
          <w:rFonts w:ascii="Times New Roman" w:hAnsi="Times New Roman"/>
          <w:sz w:val="28"/>
          <w:szCs w:val="28"/>
          <w:lang w:val="be-BY"/>
        </w:rPr>
        <w:t xml:space="preserve"> выяўленне асноўных тэндэнцый і асаблівасцяў адносін Вялікага княства Літоўскага з Тэўтонскім Ордэнам у гады праўлення трох вялікіх князёў - Альгерда, Ягайлы і Вітаўта.</w:t>
      </w:r>
    </w:p>
    <w:p w:rsidR="000E749D" w:rsidRPr="000E749D" w:rsidRDefault="000E749D" w:rsidP="000E749D">
      <w:pPr>
        <w:spacing w:after="0" w:line="360" w:lineRule="exact"/>
        <w:jc w:val="both"/>
        <w:rPr>
          <w:rFonts w:ascii="Times New Roman" w:hAnsi="Times New Roman"/>
          <w:sz w:val="28"/>
          <w:szCs w:val="28"/>
          <w:lang w:val="be-BY"/>
        </w:rPr>
      </w:pPr>
      <w:r w:rsidRPr="000E749D">
        <w:rPr>
          <w:rFonts w:ascii="Times New Roman" w:hAnsi="Times New Roman"/>
          <w:b/>
          <w:sz w:val="28"/>
          <w:szCs w:val="28"/>
          <w:lang w:val="be-BY"/>
        </w:rPr>
        <w:t xml:space="preserve">Метады даследавання. </w:t>
      </w:r>
      <w:r w:rsidRPr="000E749D">
        <w:rPr>
          <w:rFonts w:ascii="Times New Roman" w:hAnsi="Times New Roman"/>
          <w:sz w:val="28"/>
          <w:szCs w:val="28"/>
          <w:lang w:val="be-BY"/>
        </w:rPr>
        <w:t>Тэарэтычную аснову дыпломнай працы складаюць агульнанавуковыя і спецыяльна-гістарычныя метады.</w:t>
      </w:r>
    </w:p>
    <w:p w:rsidR="000E749D" w:rsidRDefault="000E749D" w:rsidP="000E749D">
      <w:pPr>
        <w:spacing w:after="0" w:line="360" w:lineRule="exact"/>
        <w:jc w:val="both"/>
        <w:rPr>
          <w:rFonts w:ascii="Times New Roman" w:hAnsi="Times New Roman"/>
          <w:sz w:val="28"/>
          <w:szCs w:val="28"/>
        </w:rPr>
      </w:pPr>
      <w:r>
        <w:rPr>
          <w:rFonts w:ascii="Times New Roman" w:hAnsi="Times New Roman"/>
          <w:b/>
          <w:sz w:val="28"/>
          <w:szCs w:val="28"/>
        </w:rPr>
        <w:t>Вынікі даследавання і іх навуковая навізна.</w:t>
      </w:r>
      <w:r>
        <w:rPr>
          <w:rFonts w:ascii="Times New Roman" w:hAnsi="Times New Roman"/>
          <w:sz w:val="28"/>
          <w:szCs w:val="28"/>
        </w:rPr>
        <w:t xml:space="preserve"> Падчас праўлення кожнага з трох вялікіх князёў - Альгерда, Ягайлы</w:t>
      </w:r>
      <w:proofErr w:type="gramStart"/>
      <w:r>
        <w:rPr>
          <w:rFonts w:ascii="Times New Roman" w:hAnsi="Times New Roman"/>
          <w:sz w:val="28"/>
          <w:szCs w:val="28"/>
        </w:rPr>
        <w:t xml:space="preserve"> і В</w:t>
      </w:r>
      <w:proofErr w:type="gramEnd"/>
      <w:r>
        <w:rPr>
          <w:rFonts w:ascii="Times New Roman" w:hAnsi="Times New Roman"/>
          <w:sz w:val="28"/>
          <w:szCs w:val="28"/>
        </w:rPr>
        <w:t>ітаўта можна вылучыць істотныя рысы ва ўзаемаадносінах з Тэўтонскім ордэнам, якія шмат у чым залежалі і ад асобы самога князя і ад унутранай і знешняй палітыкі Вялікага княства Літоўскага. Падчас праўлення Альгерда здзяйсняліся шматлікія паходы як крыжакоў на літоўскія землі, так і літоўцаў на прускія землі. Праўленне Ягайла характарызуецца складанай ўнутрыпалітычнай становішчам, якая паўплывала на ўзаемаадносіны з Тэўтонскім ордэнам - падштурхнула да падпісання таемных пагадненняў. У перыяд праўлення</w:t>
      </w:r>
      <w:proofErr w:type="gramStart"/>
      <w:r>
        <w:rPr>
          <w:rFonts w:ascii="Times New Roman" w:hAnsi="Times New Roman"/>
          <w:sz w:val="28"/>
          <w:szCs w:val="28"/>
        </w:rPr>
        <w:t xml:space="preserve"> В</w:t>
      </w:r>
      <w:proofErr w:type="gramEnd"/>
      <w:r>
        <w:rPr>
          <w:rFonts w:ascii="Times New Roman" w:hAnsi="Times New Roman"/>
          <w:sz w:val="28"/>
          <w:szCs w:val="28"/>
        </w:rPr>
        <w:t xml:space="preserve">ітаўта адбылася адна з </w:t>
      </w:r>
      <w:proofErr w:type="gramStart"/>
      <w:r>
        <w:rPr>
          <w:rFonts w:ascii="Times New Roman" w:hAnsi="Times New Roman"/>
          <w:sz w:val="28"/>
          <w:szCs w:val="28"/>
        </w:rPr>
        <w:t>самых</w:t>
      </w:r>
      <w:proofErr w:type="gramEnd"/>
      <w:r>
        <w:rPr>
          <w:rFonts w:ascii="Times New Roman" w:hAnsi="Times New Roman"/>
          <w:sz w:val="28"/>
          <w:szCs w:val="28"/>
        </w:rPr>
        <w:t xml:space="preserve"> значных войнаў і бітваў (Грунвальдская бітва), якая мела значэнне не толькі для супрацьлеглых бакоў, але мела і агульнаеўрапейскае значэнне.</w:t>
      </w:r>
    </w:p>
    <w:p w:rsidR="000E749D" w:rsidRDefault="000E749D" w:rsidP="000E749D">
      <w:pPr>
        <w:spacing w:after="0" w:line="360" w:lineRule="exact"/>
        <w:jc w:val="both"/>
        <w:rPr>
          <w:rFonts w:ascii="Times New Roman" w:hAnsi="Times New Roman"/>
          <w:sz w:val="28"/>
          <w:szCs w:val="28"/>
        </w:rPr>
      </w:pPr>
      <w:r>
        <w:rPr>
          <w:rFonts w:ascii="Times New Roman" w:hAnsi="Times New Roman"/>
          <w:b/>
          <w:sz w:val="28"/>
          <w:szCs w:val="28"/>
        </w:rPr>
        <w:t xml:space="preserve">Рэкамендацыі па практычным выкарыстанні вынікаў. </w:t>
      </w:r>
      <w:r>
        <w:rPr>
          <w:rFonts w:ascii="Times New Roman" w:hAnsi="Times New Roman"/>
          <w:sz w:val="28"/>
          <w:szCs w:val="28"/>
        </w:rPr>
        <w:t>Дыпломная праца можа быць выкарыстана пры падрыхтоўцы і вывучэнні курсаў гісторыі знешняй палітыкі Беларусі і гісторыі міжнародных адносін.</w:t>
      </w:r>
    </w:p>
    <w:p w:rsidR="000E749D" w:rsidRDefault="000E749D" w:rsidP="000E749D">
      <w:pPr>
        <w:spacing w:after="0" w:line="360" w:lineRule="exact"/>
        <w:jc w:val="both"/>
        <w:rPr>
          <w:rFonts w:ascii="Times New Roman" w:hAnsi="Times New Roman"/>
          <w:sz w:val="28"/>
          <w:szCs w:val="28"/>
        </w:rPr>
      </w:pPr>
      <w:r>
        <w:rPr>
          <w:rFonts w:ascii="Times New Roman" w:hAnsi="Times New Roman"/>
          <w:b/>
          <w:sz w:val="28"/>
          <w:szCs w:val="28"/>
        </w:rPr>
        <w:t>Структура і аб'ём дыпломнай працы:</w:t>
      </w:r>
      <w:r>
        <w:rPr>
          <w:rFonts w:ascii="Times New Roman" w:hAnsi="Times New Roman"/>
          <w:sz w:val="28"/>
          <w:szCs w:val="28"/>
        </w:rPr>
        <w:t xml:space="preserve"> Дыпломная праца складаецца з ўвядзення, чатырох кіраўнікоў, заключэння і спісу выкарыстанай літаратуры. Дыпломная праца займае 60 старонак (з іх 4 с. - спіс выкарыстанай літаратуры (55 пазіцый)).</w:t>
      </w:r>
    </w:p>
    <w:p w:rsidR="000E749D" w:rsidRDefault="000E749D" w:rsidP="000E749D">
      <w:pPr>
        <w:spacing w:after="0"/>
        <w:rPr>
          <w:rFonts w:ascii="Calibri" w:hAnsi="Calibri"/>
        </w:rPr>
      </w:pPr>
    </w:p>
    <w:p w:rsidR="000E749D" w:rsidRDefault="000E749D" w:rsidP="000E749D">
      <w:pPr>
        <w:spacing w:after="0"/>
      </w:pPr>
    </w:p>
    <w:p w:rsidR="000E749D" w:rsidRDefault="000E749D" w:rsidP="000E749D">
      <w:pPr>
        <w:spacing w:after="0"/>
      </w:pPr>
    </w:p>
    <w:p w:rsidR="000E749D" w:rsidRDefault="000E749D" w:rsidP="000E749D">
      <w:pPr>
        <w:spacing w:after="0"/>
      </w:pPr>
    </w:p>
    <w:p w:rsidR="000E749D" w:rsidRDefault="000E749D" w:rsidP="000E749D"/>
    <w:p w:rsidR="000E749D" w:rsidRDefault="000E749D" w:rsidP="000E749D">
      <w:pPr>
        <w:spacing w:after="0" w:line="360" w:lineRule="exact"/>
        <w:ind w:firstLine="709"/>
        <w:jc w:val="center"/>
        <w:rPr>
          <w:rFonts w:ascii="Times New Roman" w:hAnsi="Times New Roman"/>
          <w:b/>
          <w:sz w:val="32"/>
          <w:szCs w:val="32"/>
          <w:lang w:val="en-US"/>
        </w:rPr>
      </w:pPr>
      <w:r>
        <w:rPr>
          <w:rFonts w:ascii="Times New Roman" w:hAnsi="Times New Roman"/>
          <w:b/>
          <w:sz w:val="32"/>
          <w:szCs w:val="32"/>
          <w:lang w:val="en-US"/>
        </w:rPr>
        <w:lastRenderedPageBreak/>
        <w:t>ABSTRACT</w:t>
      </w:r>
    </w:p>
    <w:p w:rsidR="000E749D" w:rsidRDefault="000E749D" w:rsidP="000E749D">
      <w:pPr>
        <w:spacing w:after="0" w:line="360" w:lineRule="exact"/>
        <w:ind w:firstLine="709"/>
        <w:jc w:val="center"/>
        <w:rPr>
          <w:rFonts w:ascii="Times New Roman" w:hAnsi="Times New Roman"/>
          <w:b/>
          <w:sz w:val="28"/>
          <w:szCs w:val="28"/>
          <w:lang w:val="be-BY"/>
        </w:rPr>
      </w:pPr>
      <w:r>
        <w:rPr>
          <w:rFonts w:ascii="Times New Roman" w:hAnsi="Times New Roman"/>
          <w:b/>
          <w:sz w:val="28"/>
          <w:szCs w:val="28"/>
          <w:lang w:val="en-US"/>
        </w:rPr>
        <w:t>Kashchei Ivan</w:t>
      </w:r>
      <w:r>
        <w:rPr>
          <w:rFonts w:ascii="Times New Roman" w:hAnsi="Times New Roman"/>
          <w:b/>
          <w:sz w:val="28"/>
          <w:szCs w:val="28"/>
          <w:lang w:val="be-BY"/>
        </w:rPr>
        <w:t xml:space="preserve"> Mikhailovich </w:t>
      </w:r>
    </w:p>
    <w:p w:rsidR="000E749D" w:rsidRPr="000E749D" w:rsidRDefault="000E749D" w:rsidP="000E749D">
      <w:pPr>
        <w:spacing w:after="0" w:line="360" w:lineRule="exact"/>
        <w:ind w:firstLine="709"/>
        <w:jc w:val="center"/>
        <w:rPr>
          <w:rFonts w:ascii="Times New Roman" w:hAnsi="Times New Roman"/>
          <w:b/>
          <w:sz w:val="28"/>
          <w:szCs w:val="28"/>
          <w:lang w:val="en-US"/>
        </w:rPr>
      </w:pPr>
      <w:r>
        <w:rPr>
          <w:rFonts w:ascii="Times New Roman" w:hAnsi="Times New Roman"/>
          <w:b/>
          <w:sz w:val="28"/>
          <w:szCs w:val="28"/>
          <w:lang w:val="en-US"/>
        </w:rPr>
        <w:t>Relations of the Grand Duchy of Lithuania and the Teutonic Order</w:t>
      </w:r>
    </w:p>
    <w:p w:rsidR="000E749D" w:rsidRDefault="000E749D" w:rsidP="000E749D">
      <w:pPr>
        <w:spacing w:after="0" w:line="360" w:lineRule="exact"/>
        <w:ind w:firstLine="709"/>
        <w:jc w:val="center"/>
        <w:rPr>
          <w:rFonts w:ascii="Times New Roman" w:hAnsi="Times New Roman"/>
          <w:b/>
          <w:sz w:val="28"/>
          <w:szCs w:val="28"/>
          <w:lang w:val="en-US"/>
        </w:rPr>
      </w:pPr>
      <w:proofErr w:type="gramStart"/>
      <w:r>
        <w:rPr>
          <w:rFonts w:ascii="Times New Roman" w:hAnsi="Times New Roman"/>
          <w:b/>
          <w:sz w:val="28"/>
          <w:szCs w:val="28"/>
          <w:lang w:val="en-US"/>
        </w:rPr>
        <w:t>in</w:t>
      </w:r>
      <w:proofErr w:type="gramEnd"/>
      <w:r>
        <w:rPr>
          <w:rFonts w:ascii="Times New Roman" w:hAnsi="Times New Roman"/>
          <w:b/>
          <w:sz w:val="28"/>
          <w:szCs w:val="28"/>
          <w:lang w:val="en-US"/>
        </w:rPr>
        <w:t xml:space="preserve"> the middle of the 14th – the first third of the 15th centuries.</w:t>
      </w:r>
    </w:p>
    <w:p w:rsidR="000E749D" w:rsidRDefault="000E749D" w:rsidP="000E749D">
      <w:pPr>
        <w:spacing w:after="0" w:line="360" w:lineRule="exact"/>
        <w:ind w:firstLine="709"/>
        <w:jc w:val="center"/>
        <w:rPr>
          <w:rFonts w:ascii="Times New Roman" w:hAnsi="Times New Roman"/>
          <w:b/>
          <w:sz w:val="28"/>
          <w:szCs w:val="28"/>
          <w:lang w:val="en-US"/>
        </w:rPr>
      </w:pPr>
    </w:p>
    <w:p w:rsidR="000E749D" w:rsidRDefault="000E749D" w:rsidP="000E749D">
      <w:pPr>
        <w:spacing w:after="0" w:line="360" w:lineRule="exact"/>
        <w:jc w:val="both"/>
        <w:rPr>
          <w:rFonts w:ascii="Times New Roman" w:hAnsi="Times New Roman"/>
          <w:sz w:val="28"/>
          <w:szCs w:val="28"/>
          <w:lang w:val="en-US"/>
        </w:rPr>
      </w:pPr>
      <w:r>
        <w:rPr>
          <w:rFonts w:ascii="Times New Roman" w:hAnsi="Times New Roman"/>
          <w:b/>
          <w:sz w:val="28"/>
          <w:szCs w:val="28"/>
          <w:lang w:val="en-US"/>
        </w:rPr>
        <w:t>Keywords:</w:t>
      </w:r>
      <w:r>
        <w:rPr>
          <w:rFonts w:ascii="Times New Roman" w:hAnsi="Times New Roman"/>
          <w:sz w:val="28"/>
          <w:szCs w:val="28"/>
          <w:lang w:val="en-US"/>
        </w:rPr>
        <w:t xml:space="preserve"> Grand Duchy of Lithuania, the Teutonic Order, the Great War, the Battle of Grunwald, Krevo union, ostrów agreement, battle of </w:t>
      </w:r>
      <w:proofErr w:type="gramStart"/>
      <w:r>
        <w:rPr>
          <w:rFonts w:ascii="Times New Roman" w:hAnsi="Times New Roman"/>
          <w:sz w:val="28"/>
          <w:szCs w:val="28"/>
          <w:lang w:val="en-US"/>
        </w:rPr>
        <w:t>strėva river</w:t>
      </w:r>
      <w:proofErr w:type="gramEnd"/>
      <w:r>
        <w:rPr>
          <w:rFonts w:ascii="Times New Roman" w:hAnsi="Times New Roman"/>
          <w:sz w:val="28"/>
          <w:szCs w:val="28"/>
          <w:lang w:val="en-US"/>
        </w:rPr>
        <w:t>.</w:t>
      </w:r>
    </w:p>
    <w:p w:rsidR="000E749D" w:rsidRDefault="000E749D" w:rsidP="000E749D">
      <w:pPr>
        <w:spacing w:after="0" w:line="360" w:lineRule="exact"/>
        <w:jc w:val="both"/>
        <w:rPr>
          <w:rFonts w:ascii="Times New Roman" w:hAnsi="Times New Roman"/>
          <w:sz w:val="28"/>
          <w:szCs w:val="28"/>
          <w:lang w:val="en-US"/>
        </w:rPr>
      </w:pPr>
      <w:r>
        <w:rPr>
          <w:rFonts w:ascii="Times New Roman" w:hAnsi="Times New Roman"/>
          <w:b/>
          <w:sz w:val="28"/>
          <w:szCs w:val="28"/>
          <w:lang w:val="en-US"/>
        </w:rPr>
        <w:t>The object of the study:</w:t>
      </w:r>
      <w:r>
        <w:rPr>
          <w:rFonts w:ascii="Times New Roman" w:hAnsi="Times New Roman"/>
          <w:sz w:val="28"/>
          <w:szCs w:val="28"/>
          <w:lang w:val="en-US"/>
        </w:rPr>
        <w:t xml:space="preserve"> the foreign policy of the Grand Duchy of Lithuania in the middle of the fourteenth and the first third of the fifteenth century.</w:t>
      </w:r>
    </w:p>
    <w:p w:rsidR="000E749D" w:rsidRDefault="000E749D" w:rsidP="000E749D">
      <w:pPr>
        <w:spacing w:after="0" w:line="360" w:lineRule="exact"/>
        <w:jc w:val="both"/>
        <w:rPr>
          <w:rFonts w:ascii="Times New Roman" w:hAnsi="Times New Roman"/>
          <w:sz w:val="28"/>
          <w:szCs w:val="28"/>
          <w:lang w:val="en-US"/>
        </w:rPr>
      </w:pPr>
      <w:r>
        <w:rPr>
          <w:rFonts w:ascii="Times New Roman" w:hAnsi="Times New Roman"/>
          <w:b/>
          <w:sz w:val="28"/>
          <w:szCs w:val="28"/>
          <w:lang w:val="en-US"/>
        </w:rPr>
        <w:t>The subject of the study:</w:t>
      </w:r>
      <w:r>
        <w:rPr>
          <w:rFonts w:ascii="Times New Roman" w:hAnsi="Times New Roman"/>
          <w:sz w:val="28"/>
          <w:szCs w:val="28"/>
          <w:lang w:val="en-US"/>
        </w:rPr>
        <w:t xml:space="preserve"> the relationship of the Grand Duchy of Lithuania with the Teutonic Order in the middle of the fourteenth and the first third of the fifteenth century.</w:t>
      </w:r>
    </w:p>
    <w:p w:rsidR="000E749D" w:rsidRDefault="000E749D" w:rsidP="000E749D">
      <w:pPr>
        <w:spacing w:after="0" w:line="360" w:lineRule="exact"/>
        <w:jc w:val="both"/>
        <w:rPr>
          <w:rFonts w:ascii="Times New Roman" w:hAnsi="Times New Roman"/>
          <w:sz w:val="28"/>
          <w:szCs w:val="28"/>
          <w:lang w:val="en-US"/>
        </w:rPr>
      </w:pPr>
      <w:r>
        <w:rPr>
          <w:rFonts w:ascii="Times New Roman" w:hAnsi="Times New Roman"/>
          <w:b/>
          <w:sz w:val="28"/>
          <w:szCs w:val="28"/>
          <w:lang w:val="en-US"/>
        </w:rPr>
        <w:t>The purpose of the work:</w:t>
      </w:r>
      <w:r>
        <w:rPr>
          <w:rFonts w:ascii="Times New Roman" w:hAnsi="Times New Roman"/>
          <w:sz w:val="28"/>
          <w:szCs w:val="28"/>
          <w:lang w:val="en-US"/>
        </w:rPr>
        <w:t xml:space="preserve"> the identification of the main tendencies and peculiarities of the relations of the Grand Duchy of Lithuania with the Teutonic Order during the reign of the three great princes - Olgerd, Jagiello and Vitovt.</w:t>
      </w:r>
    </w:p>
    <w:p w:rsidR="000E749D" w:rsidRDefault="000E749D" w:rsidP="000E749D">
      <w:pPr>
        <w:spacing w:after="0" w:line="360" w:lineRule="exact"/>
        <w:jc w:val="both"/>
        <w:rPr>
          <w:rFonts w:ascii="Times New Roman" w:hAnsi="Times New Roman"/>
          <w:sz w:val="28"/>
          <w:szCs w:val="28"/>
          <w:lang w:val="en-US"/>
        </w:rPr>
      </w:pPr>
      <w:proofErr w:type="gramStart"/>
      <w:r>
        <w:rPr>
          <w:rFonts w:ascii="Times New Roman" w:hAnsi="Times New Roman"/>
          <w:b/>
          <w:sz w:val="28"/>
          <w:szCs w:val="28"/>
          <w:lang w:val="en-US"/>
        </w:rPr>
        <w:t>Methods of research.</w:t>
      </w:r>
      <w:proofErr w:type="gramEnd"/>
      <w:r>
        <w:rPr>
          <w:rFonts w:ascii="Times New Roman" w:hAnsi="Times New Roman"/>
          <w:sz w:val="28"/>
          <w:szCs w:val="28"/>
          <w:lang w:val="en-US"/>
        </w:rPr>
        <w:t xml:space="preserve"> Theoretical basis of the thesis work consists of general scientific and special historical methods.</w:t>
      </w:r>
    </w:p>
    <w:p w:rsidR="000E749D" w:rsidRDefault="000E749D" w:rsidP="000E749D">
      <w:pPr>
        <w:spacing w:after="0" w:line="360" w:lineRule="exact"/>
        <w:jc w:val="both"/>
        <w:rPr>
          <w:rFonts w:ascii="Times New Roman" w:hAnsi="Times New Roman"/>
          <w:sz w:val="28"/>
          <w:szCs w:val="28"/>
          <w:lang w:val="en-US"/>
        </w:rPr>
      </w:pPr>
      <w:proofErr w:type="gramStart"/>
      <w:r>
        <w:rPr>
          <w:rFonts w:ascii="Times New Roman" w:hAnsi="Times New Roman"/>
          <w:b/>
          <w:sz w:val="28"/>
          <w:szCs w:val="28"/>
          <w:lang w:val="en-US"/>
        </w:rPr>
        <w:t>The results of the research and their scientific novelty.</w:t>
      </w:r>
      <w:proofErr w:type="gramEnd"/>
      <w:r>
        <w:rPr>
          <w:rFonts w:ascii="Times New Roman" w:hAnsi="Times New Roman"/>
          <w:sz w:val="28"/>
          <w:szCs w:val="28"/>
          <w:lang w:val="en-US"/>
        </w:rPr>
        <w:t xml:space="preserve"> During the reign of each of the three great princes - Algirdas, Vytautas and Jagiello can distinguish important features in the relationship with the Teutonic Order, which largely depended on the personality of the prince and of the internal and foreign policy of the Grand Duchy of Lithuania. During the reign of Olgerd, there were numerous campaigns of crusaders to the Lithuanian lands, and Lithuanians to the Prussian lands. The rule of Jagiello is characterized by a complex internal political situation that influenced the relationship with the Teutonic Order - prompted the signing of secret agreements. During the reign of Vitovt, one of the most significant wars and battles took place (the Battle of Grunwald), which was important not only for the warring sides, but also had a pan-European significance.</w:t>
      </w:r>
    </w:p>
    <w:p w:rsidR="000E749D" w:rsidRDefault="000E749D" w:rsidP="000E749D">
      <w:pPr>
        <w:spacing w:after="0" w:line="360" w:lineRule="exact"/>
        <w:jc w:val="both"/>
        <w:rPr>
          <w:rFonts w:ascii="Times New Roman" w:hAnsi="Times New Roman"/>
          <w:sz w:val="28"/>
          <w:szCs w:val="28"/>
          <w:lang w:val="en-US"/>
        </w:rPr>
      </w:pPr>
      <w:proofErr w:type="gramStart"/>
      <w:r>
        <w:rPr>
          <w:rFonts w:ascii="Times New Roman" w:hAnsi="Times New Roman"/>
          <w:b/>
          <w:sz w:val="28"/>
          <w:szCs w:val="28"/>
          <w:lang w:val="en-US"/>
        </w:rPr>
        <w:t>Recommendations for the practical use of the results.</w:t>
      </w:r>
      <w:proofErr w:type="gramEnd"/>
      <w:r>
        <w:rPr>
          <w:rFonts w:ascii="Times New Roman" w:hAnsi="Times New Roman"/>
          <w:sz w:val="28"/>
          <w:szCs w:val="28"/>
          <w:lang w:val="en-US"/>
        </w:rPr>
        <w:t xml:space="preserve"> The diploma work can be used in the preparation and study of courses in the history of Belarus' foreign policy and the history of international relations.</w:t>
      </w:r>
    </w:p>
    <w:p w:rsidR="000E749D" w:rsidRDefault="000E749D" w:rsidP="000E749D">
      <w:pPr>
        <w:spacing w:after="0" w:line="360" w:lineRule="exact"/>
        <w:jc w:val="both"/>
        <w:rPr>
          <w:rFonts w:ascii="Times New Roman" w:hAnsi="Times New Roman"/>
          <w:sz w:val="28"/>
          <w:szCs w:val="28"/>
          <w:lang w:val="en-US"/>
        </w:rPr>
      </w:pPr>
      <w:r>
        <w:rPr>
          <w:rFonts w:ascii="Times New Roman" w:hAnsi="Times New Roman"/>
          <w:b/>
          <w:sz w:val="28"/>
          <w:szCs w:val="28"/>
          <w:lang w:val="en-US"/>
        </w:rPr>
        <w:t>Structure and scope of the thesis:</w:t>
      </w:r>
      <w:r>
        <w:rPr>
          <w:rFonts w:ascii="Times New Roman" w:hAnsi="Times New Roman"/>
          <w:sz w:val="28"/>
          <w:szCs w:val="28"/>
          <w:lang w:val="en-US"/>
        </w:rPr>
        <w:t xml:space="preserve"> The thesis consists of an introduction, four chapters, a conclusion and a list of used literature. The thesis takes 60 pages (of which 4 pp. - list of used literature (55 positions)).</w:t>
      </w:r>
    </w:p>
    <w:p w:rsidR="00084AAE" w:rsidRPr="000E749D" w:rsidRDefault="00084AAE">
      <w:pPr>
        <w:rPr>
          <w:lang w:val="en-US"/>
        </w:rPr>
      </w:pPr>
    </w:p>
    <w:sectPr w:rsidR="00084AAE" w:rsidRPr="000E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useFELayout/>
  </w:compat>
  <w:rsids>
    <w:rsidRoot w:val="000E749D"/>
    <w:rsid w:val="00084AAE"/>
    <w:rsid w:val="000E7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2018-08-31T20:04:00Z</dcterms:created>
  <dcterms:modified xsi:type="dcterms:W3CDTF">2018-08-31T20:04:00Z</dcterms:modified>
</cp:coreProperties>
</file>