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49263"/>
        <w:docPartObj>
          <w:docPartGallery w:val="Cover Pages"/>
          <w:docPartUnique/>
        </w:docPartObj>
      </w:sdtPr>
      <w:sdtEndPr>
        <w:rPr>
          <w:rFonts w:cs="Times New Roman"/>
          <w:b/>
          <w:bCs/>
        </w:rPr>
      </w:sdtEndPr>
      <w:sdtContent>
        <w:p w:rsidR="005A75C0" w:rsidRPr="00DF5B3A" w:rsidRDefault="005A75C0" w:rsidP="005A75C0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МИНИСТЕРСТВО ОБРАЗОВАНИЯ РЕСПУБЛИКИ БЕЛАРУСЬ</w:t>
          </w:r>
        </w:p>
        <w:p w:rsidR="005A75C0" w:rsidRPr="00DF5B3A" w:rsidRDefault="005A75C0" w:rsidP="005A75C0">
          <w:pPr>
            <w:spacing w:after="0" w:line="48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ab/>
            <w:t>БЕЛОРУССКИЙ ГОСУДАРСТВЕННЫЙ УНИВЕРСИТЕТ</w:t>
          </w:r>
        </w:p>
        <w:p w:rsidR="005A75C0" w:rsidRPr="00DF5B3A" w:rsidRDefault="005A75C0" w:rsidP="005A75C0">
          <w:pPr>
            <w:spacing w:after="0" w:line="48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ФАКУЛЬТЕТ ЮРИДИЧЕСКИЙ</w:t>
          </w:r>
        </w:p>
        <w:p w:rsidR="005A75C0" w:rsidRPr="00DF5B3A" w:rsidRDefault="005A75C0" w:rsidP="005A75C0">
          <w:pPr>
            <w:spacing w:after="0" w:line="48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Кафедра экологического и аграрного права</w:t>
          </w: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ЛИНКЕВИЧ</w:t>
          </w: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Александр Михайлович</w:t>
          </w: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ПРАВОВОЕ РЕГУЛИРОВАНИЕ АРЕНДЫ ЗЕМЕЛЬНЫХ УЧАСТКОВ</w:t>
          </w: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Дипломная работа</w:t>
          </w: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Научный руководитель:</w:t>
          </w: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кандидат юридических наук,</w:t>
          </w: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доцент </w:t>
          </w:r>
          <w:proofErr w:type="spellStart"/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И.С.Шахрай</w:t>
          </w:r>
          <w:proofErr w:type="spellEnd"/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Допущен к защите</w:t>
          </w:r>
        </w:p>
        <w:p w:rsidR="005A75C0" w:rsidRPr="00DF5B3A" w:rsidRDefault="005A75C0" w:rsidP="005A75C0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«_</w:t>
          </w:r>
          <w:proofErr w:type="gramStart"/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_»_</w:t>
          </w:r>
          <w:proofErr w:type="gramEnd"/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___________2017 г.</w:t>
          </w:r>
        </w:p>
        <w:p w:rsidR="005A75C0" w:rsidRPr="00DF5B3A" w:rsidRDefault="005A75C0" w:rsidP="005A75C0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spellStart"/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Зав.кафедрой</w:t>
          </w:r>
          <w:proofErr w:type="spellEnd"/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экологического и аграрного права</w:t>
          </w:r>
        </w:p>
        <w:p w:rsidR="005A75C0" w:rsidRPr="00DF5B3A" w:rsidRDefault="005A75C0" w:rsidP="005A75C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доктор юридических наук, профессор </w:t>
          </w:r>
          <w:proofErr w:type="spellStart"/>
          <w:r w:rsidRPr="00DF5B3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С.А.Балашенко</w:t>
          </w:r>
          <w:proofErr w:type="spellEnd"/>
        </w:p>
        <w:p w:rsidR="005A75C0" w:rsidRPr="00DF5B3A" w:rsidRDefault="005A75C0" w:rsidP="005A75C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5A75C0" w:rsidRDefault="005A75C0" w:rsidP="005A75C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5A75C0" w:rsidRDefault="005A75C0" w:rsidP="005A75C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5A75C0" w:rsidRPr="00DF5B3A" w:rsidRDefault="005A75C0" w:rsidP="005A75C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5A75C0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DF5B3A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Минск, 2017</w:t>
          </w:r>
        </w:p>
        <w:p w:rsidR="005A75C0" w:rsidRPr="00DF5B3A" w:rsidRDefault="005A75C0" w:rsidP="005A75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5A75C0" w:rsidRPr="00F862AF" w:rsidRDefault="005A75C0" w:rsidP="005A75C0">
          <w:pPr>
            <w:spacing w:after="0" w:line="360" w:lineRule="exact"/>
            <w:ind w:firstLine="709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862AF">
            <w:rPr>
              <w:rFonts w:ascii="Times New Roman" w:hAnsi="Times New Roman" w:cs="Times New Roman"/>
              <w:b/>
              <w:sz w:val="32"/>
              <w:szCs w:val="32"/>
            </w:rPr>
            <w:lastRenderedPageBreak/>
            <w:t>Реферат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5A75C0" w:rsidRPr="00F862AF" w:rsidRDefault="005A75C0" w:rsidP="005A75C0">
          <w:pPr>
            <w:spacing w:after="0" w:line="360" w:lineRule="exact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Объем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дипломной работы 5</w:t>
          </w:r>
          <w:r>
            <w:rPr>
              <w:rFonts w:ascii="Times New Roman" w:hAnsi="Times New Roman" w:cs="Times New Roman"/>
              <w:sz w:val="28"/>
              <w:szCs w:val="28"/>
            </w:rPr>
            <w:t>8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страница без учета списка использованных источников, количество источников 47.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Ключевые слова: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АРЕНДА, ЗЕМЕЛЬНЫЙ УЧАСТОК, ДОГОВОР АРЕНДЫ ЗЕМЕЛЬНОГО УЧАСТКА АРЕНДОДАТЕЛЬ, АРЕНДАТОР, АРЕНДНАЯ ПЛАТА, СРОК АРЕНДЫ ЗЕМЕЛЬНОГО УЧАСТКА, СОДЕРЖАНИЕ ДОГОВОРА АРЕНДЫ, ПРАВА, ОБЯЗАННОСТИ, АДМИНИСТРАТИВНЫЙ ПОРЯДОК, АУКЦИОННЫЙ ПОРЯДОК.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Объект исследования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– арендные отношения и их правовое обеспечение в структуре земельного права Республики Беларусь.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Цель работы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- всестороннее изучение и анализ общих положений договора аренды земельного участка с точки зрения законодательства Республики Беларусь.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Методы: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диалектический, исторический, сравнительно-правовой, формально-логический, системно-функциональный анализ и др. Все заимствованные из литературных и других источников теоретические, методологические положения и концепции сопровождаются ссылками на их авторов.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Полученные результаты и их новизна: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арендные правоотношения – это урегулированные гражданским и земельным законодательством общественные отношения по поводу владения и пользования земельным участком на срочной и возмездной основе.  В работе дан комплексный анализ и выявлены пробелы законодательства, регулирующего договорные формы использования земельных участков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Объектом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арендных отношений является индивидуально-определенный участок. 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Сторонами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в договоре аренды земли являются арендодатель и арендатор. Арендодателем может быть собственник земельного участка, а также лица, управомоченные законодательством или собственником сдавать земельный участок в аренду. Арендаторами земельных участков могут быть физические и юридические лица, лица без гражданства, иностранные физические и юридические лица, лица без гражданства иностранные государства, международные организации.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2834640</wp:posOffset>
                    </wp:positionH>
                    <wp:positionV relativeFrom="paragraph">
                      <wp:posOffset>1165860</wp:posOffset>
                    </wp:positionV>
                    <wp:extent cx="276225" cy="200025"/>
                    <wp:effectExtent l="9525" t="9525" r="9525" b="9525"/>
                    <wp:wrapNone/>
                    <wp:docPr id="3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6225" cy="20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B29745" id="Прямоугольник 3" o:spid="_x0000_s1026" style="position:absolute;margin-left:223.2pt;margin-top:91.8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" strokecolor="white [3212]"/>
                </w:pict>
              </mc:Fallback>
            </mc:AlternateContent>
          </w: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Степень внедрения: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Развитие таких правоотношений в Республике Беларусь повысит эффективность функционирования рынка аренды земельных участков, ускорит, удешевит, упростит гражданский оборот земельных участков.</w:t>
          </w:r>
        </w:p>
        <w:p w:rsidR="005A75C0" w:rsidRPr="00F862AF" w:rsidRDefault="005A75C0" w:rsidP="005A75C0">
          <w:pPr>
            <w:pStyle w:val="1"/>
            <w:jc w:val="center"/>
            <w:rPr>
              <w:rFonts w:cs="Times New Roman"/>
              <w:szCs w:val="32"/>
            </w:rPr>
          </w:pPr>
          <w:proofErr w:type="spellStart"/>
          <w:r w:rsidRPr="00F862AF">
            <w:rPr>
              <w:rFonts w:cs="Times New Roman"/>
              <w:szCs w:val="32"/>
            </w:rPr>
            <w:lastRenderedPageBreak/>
            <w:t>Рэферат</w:t>
          </w:r>
          <w:proofErr w:type="spellEnd"/>
        </w:p>
        <w:p w:rsidR="005A75C0" w:rsidRDefault="005A75C0" w:rsidP="005A75C0">
          <w:pPr>
            <w:spacing w:after="0" w:line="360" w:lineRule="exact"/>
          </w:pPr>
        </w:p>
        <w:p w:rsidR="005A75C0" w:rsidRDefault="005A75C0" w:rsidP="005A75C0">
          <w:pPr>
            <w:spacing w:after="0" w:line="360" w:lineRule="exact"/>
          </w:pP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Аб'ём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дыпломнай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працы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57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старонак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без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уліку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спісу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выкарыстаных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крыніц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колькасць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крыніц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47.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Ключавыя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словы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АРЭНДА, ЗЯМЕЛЬНЫ УЧАСТАК, ДАГАВОР АРЭНДЫ ЗЯМЕЛЬНАГА УЧАСТКА, АРЭНДАДАВЕЦ, АРАНДАТАР, АРЭНДНАЯ ПЛАТА, ТЭРМІН АРЭНДЫ ЗЯЕЛЬНАГА УЧАСТКА, ЗМЕСТ ДАГАВОРА АРЭНДЫ, ПРАВА, АБАВЯЗАК, АДМИНИСТРАТЫУНЫ ПАРАДАК, АУКЦЫЁННЫ ПАРАДАК.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Аб'ект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даследавання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proofErr w:type="gramStart"/>
          <w:r w:rsidRPr="00F862AF">
            <w:rPr>
              <w:rFonts w:ascii="Times New Roman" w:hAnsi="Times New Roman" w:cs="Times New Roman"/>
              <w:sz w:val="28"/>
              <w:szCs w:val="28"/>
            </w:rPr>
            <w:t>адносіны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 і</w:t>
          </w:r>
          <w:proofErr w:type="gram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іх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прававое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забеспячэнне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ў структуры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зямельнага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права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Рэспублікі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Беларусь.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Мэта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працы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усебакова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вывучэнне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аналіз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агульных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палажэнняў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дагавора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арэнды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зямельнага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ўчастка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з пункту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гледжання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заканадаўства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Рэспублікі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Беларусь.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Метады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дыялектычны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гістарычны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параўнальна-прававой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фармальна-лагічны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сістэмна-функцыянальны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аналіз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інш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. Усе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запазычаныя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з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літаратурных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іншых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крыніц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тэарэтычныя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метадалагічныя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палажэнні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канцэпцыі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суправаджаюцца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спасылкамі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на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іх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аўтараў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Атрыманыя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вынікі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іх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навізна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арэндныя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праваадносіны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- гэта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ўрэгуляваныя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грамадзянскіх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зямельным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заканадаўствам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грамадскія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адносіны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з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нагоды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валодання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карыстання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зямельным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участкам на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тэрміновай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платнай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аснове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. У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рабоце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дадзены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комплексны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аналізі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выяўленыя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прабелы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заканадаўства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якое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рэгулюе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дагаворныя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формы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выкарыстання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зямельных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участкаў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Аб'ектам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арэндных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адносін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з'яўляецца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індывідуальна-пэўны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ўчастак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</w:p>
        <w:p w:rsidR="005A75C0" w:rsidRPr="00F862AF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Бакамі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ў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дамове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арэнды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зямлі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з'яўляюцца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арэндадаўца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арандатар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Арэндадаўцам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можа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быць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ўласнік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зямельнага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ўчастка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а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таксама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асобы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управомоченные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заканадаўствам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або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ўласнікам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здаваць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ўчастак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у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арэнду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Арандатарамі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зямельных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участкаў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могуць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быць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фізічныя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юрыдычныя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асобы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асобы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без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грамадзянства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замежныя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фізічныя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і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юрыдычныя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асобы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асобы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без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грамадзянства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замежныя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дзяржавы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міжнародныя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арганізацыі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</w:p>
        <w:p w:rsidR="005A75C0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 xml:space="preserve">Ступень </w:t>
          </w:r>
          <w:proofErr w:type="spellStart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ўкаранення</w:t>
          </w:r>
          <w:proofErr w:type="spellEnd"/>
          <w:r w:rsidRPr="00F862AF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Развіццё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такіх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праваадносін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у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Рэспубліцы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Беларусь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падвысіць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эфектыўнасць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функцыянавання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рынку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арэнды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зямельных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участкаў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паскорыць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патанніць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спросціць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грамадзянскі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абарот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зямельных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862AF">
            <w:rPr>
              <w:rFonts w:ascii="Times New Roman" w:hAnsi="Times New Roman" w:cs="Times New Roman"/>
              <w:sz w:val="28"/>
              <w:szCs w:val="28"/>
            </w:rPr>
            <w:t>участкаў</w:t>
          </w:r>
          <w:proofErr w:type="spellEnd"/>
          <w:r w:rsidRPr="00F862AF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5A75C0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5A75C0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5A75C0" w:rsidRDefault="005A75C0" w:rsidP="005A75C0">
          <w:pPr>
            <w:spacing w:after="0" w:line="360" w:lineRule="exac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2815590</wp:posOffset>
                    </wp:positionH>
                    <wp:positionV relativeFrom="paragraph">
                      <wp:posOffset>270510</wp:posOffset>
                    </wp:positionV>
                    <wp:extent cx="276225" cy="200025"/>
                    <wp:effectExtent l="9525" t="9525" r="9525" b="9525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6225" cy="20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ACBDFF" id="Прямоугольник 2" o:spid="_x0000_s1026" style="position:absolute;margin-left:221.7pt;margin-top:21.3pt;width:2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" strokecolor="white [3212]"/>
                </w:pict>
              </mc:Fallback>
            </mc:AlternateContent>
          </w:r>
        </w:p>
        <w:p w:rsidR="005A75C0" w:rsidRDefault="005A75C0" w:rsidP="005A75C0">
          <w:pPr>
            <w:spacing w:after="0" w:line="360" w:lineRule="exact"/>
            <w:ind w:firstLine="720"/>
            <w:jc w:val="center"/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</w:pPr>
          <w:r w:rsidRPr="00296D67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lastRenderedPageBreak/>
            <w:t>Résumé</w:t>
          </w:r>
        </w:p>
        <w:p w:rsidR="005A75C0" w:rsidRDefault="005A75C0" w:rsidP="005A75C0">
          <w:pPr>
            <w:spacing w:after="0" w:line="360" w:lineRule="exact"/>
            <w:ind w:firstLine="720"/>
            <w:jc w:val="center"/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</w:pPr>
        </w:p>
        <w:p w:rsidR="005A75C0" w:rsidRPr="00296D67" w:rsidRDefault="005A75C0" w:rsidP="005A75C0">
          <w:pPr>
            <w:spacing w:after="0" w:line="360" w:lineRule="exact"/>
            <w:ind w:firstLine="720"/>
            <w:jc w:val="center"/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</w:pPr>
        </w:p>
        <w:p w:rsidR="005A75C0" w:rsidRPr="00296D67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Volume </w:t>
          </w:r>
          <w:proofErr w:type="gram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57 page</w:t>
          </w:r>
          <w:proofErr w:type="gram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thèse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sans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tenir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compte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liste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des sources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utilisées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le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nombre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47 sources.</w:t>
          </w:r>
        </w:p>
        <w:p w:rsidR="005A75C0" w:rsidRPr="00296D67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Mots-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clés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: location,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location de PROPRIÉTAIRE 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, LOCATAIRE, RENT, LAND BAIL TERME, BAIL CONTRAT CONTENU, LES DROITS, DEVOIRS, ORDRE ADMINISTRATIF, ORDRE DE VENTE.</w:t>
          </w:r>
        </w:p>
        <w:p w:rsidR="005A75C0" w:rsidRPr="00296D67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L'objet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d'étude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-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baux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soutien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juridique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pour la structure des droits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fonciers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République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du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Bélarus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.</w:t>
          </w:r>
        </w:p>
        <w:p w:rsidR="005A75C0" w:rsidRPr="00296D67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Le but du travail -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une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étude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approfondie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une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analyse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des dispositions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générales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la location des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du point 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vue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République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du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Bélarus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.</w:t>
          </w:r>
        </w:p>
        <w:p w:rsidR="005A75C0" w:rsidRPr="00296D67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Méthodes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.,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Juridique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comparative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historique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l'analyse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dialectique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formel-logique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systémique-fonctionnelle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etc.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Tous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empruntés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à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littérature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d'autres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sources 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théoriques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principes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les concepts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méthodologiques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sont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accompagnés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par des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références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à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leurs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auteurs.</w:t>
          </w:r>
        </w:p>
        <w:p w:rsidR="005A75C0" w:rsidRPr="00296D67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résultats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leur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nouveauté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: la relation de bail -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est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régie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par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législation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civile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des relations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publiques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concernant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propriété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l'utilisation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dans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la base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immédiate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remboursable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. Le document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présente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une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analyse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complète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lacunes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identifiées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législation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régissant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formes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contractuelles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d'utilisation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terres</w:t>
          </w:r>
          <w:proofErr w:type="spellEnd"/>
        </w:p>
        <w:p w:rsidR="005A75C0" w:rsidRPr="00296D67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L'objet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du bail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est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une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zone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individuellement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définie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.</w:t>
          </w:r>
        </w:p>
        <w:p w:rsidR="005A75C0" w:rsidRPr="00296D67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Parties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dans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baux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sont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bailleur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le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locataire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.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Bailleur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peut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être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propriétaire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ainsi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que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personne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autorisée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par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loi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ou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par le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propriétaire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à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remettre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à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louer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.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locataires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peuvent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être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personnes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physiques et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morales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apatrides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personnes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physiques et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morales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étrangères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apatrides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États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étrangers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organisations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internationales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.</w:t>
          </w:r>
        </w:p>
        <w:p w:rsidR="005A75C0" w:rsidRPr="00296D67" w:rsidRDefault="005A75C0" w:rsidP="005A75C0">
          <w:pPr>
            <w:spacing w:after="0" w:line="360" w:lineRule="exact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Degré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mise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en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œuvre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: Le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développement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ces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relations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dans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République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du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Bélarus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augmentera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l'efficacité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du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marché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de la location des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d'accélérer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, de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réduire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les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coûts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et de simplifier le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chiffre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d'affaires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civil de la </w:t>
          </w:r>
          <w:proofErr w:type="spellStart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terre</w:t>
          </w:r>
          <w:proofErr w:type="spellEnd"/>
          <w:r w:rsidRPr="00296D67">
            <w:rPr>
              <w:rFonts w:ascii="Times New Roman" w:hAnsi="Times New Roman" w:cs="Times New Roman"/>
              <w:sz w:val="28"/>
              <w:szCs w:val="28"/>
              <w:lang w:val="en-US"/>
            </w:rPr>
            <w:t>.</w:t>
          </w:r>
        </w:p>
        <w:p w:rsidR="005A75C0" w:rsidRPr="00DF5B3A" w:rsidRDefault="005A75C0" w:rsidP="005A75C0">
          <w:pPr>
            <w:rPr>
              <w:lang w:val="en-US"/>
            </w:rPr>
          </w:pPr>
        </w:p>
        <w:p w:rsidR="005A75C0" w:rsidRPr="00DF5B3A" w:rsidRDefault="005A75C0" w:rsidP="005A75C0">
          <w:pPr>
            <w:rPr>
              <w:rFonts w:cs="Times New Roman"/>
              <w:b/>
              <w:bCs/>
              <w:lang w:val="en-US"/>
            </w:rPr>
          </w:pPr>
          <w:r>
            <w:rPr>
              <w:rFonts w:cs="Times New Roman"/>
              <w:b/>
              <w:bCs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2834640</wp:posOffset>
                    </wp:positionH>
                    <wp:positionV relativeFrom="paragraph">
                      <wp:posOffset>1358265</wp:posOffset>
                    </wp:positionV>
                    <wp:extent cx="276225" cy="200025"/>
                    <wp:effectExtent l="9525" t="9525" r="9525" b="9525"/>
                    <wp:wrapNone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6225" cy="20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F8766D" id="Прямоугольник 1" o:spid="_x0000_s1026" style="position:absolute;margin-left:223.2pt;margin-top:106.95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" strokecolor="white [3212]"/>
                </w:pict>
              </mc:Fallback>
            </mc:AlternateContent>
          </w:r>
        </w:p>
        <w:bookmarkStart w:id="0" w:name="_GoBack" w:displacedByCustomXml="next"/>
        <w:bookmarkEnd w:id="0" w:displacedByCustomXml="next"/>
      </w:sdtContent>
    </w:sdt>
    <w:sectPr w:rsidR="005A75C0" w:rsidRPr="00DF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C0"/>
    <w:rsid w:val="004E292A"/>
    <w:rsid w:val="005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469BBC5-845A-4E1B-AC15-D81FD76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5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75C0"/>
    <w:pPr>
      <w:keepNext/>
      <w:keepLines/>
      <w:spacing w:after="0" w:line="360" w:lineRule="exact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5C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5A75C0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5A75C0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5A75C0"/>
    <w:pPr>
      <w:spacing w:after="100"/>
    </w:pPr>
    <w:rPr>
      <w:rFonts w:ascii="Times New Roman" w:eastAsiaTheme="minorEastAsia" w:hAnsi="Times New Roman"/>
      <w:sz w:val="28"/>
    </w:rPr>
  </w:style>
  <w:style w:type="character" w:styleId="a4">
    <w:name w:val="Hyperlink"/>
    <w:basedOn w:val="a0"/>
    <w:uiPriority w:val="99"/>
    <w:unhideWhenUsed/>
    <w:rsid w:val="005A7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Альвина Г. Бекешко</dc:creator>
  <cp:keywords/>
  <dc:description/>
  <cp:lastModifiedBy>Альвина Г. Бекешко</cp:lastModifiedBy>
  <cp:revision>1</cp:revision>
  <dcterms:created xsi:type="dcterms:W3CDTF">2018-08-20T10:59:00Z</dcterms:created>
  <dcterms:modified xsi:type="dcterms:W3CDTF">2018-08-20T11:00:00Z</dcterms:modified>
</cp:coreProperties>
</file>