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ED" w:rsidRDefault="00602EF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РЕСПУБЛИКИ БЕЛАРУСЬ </w:t>
      </w:r>
    </w:p>
    <w:p w:rsidR="005235ED" w:rsidRDefault="00602EF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БЕЛОРУССКИЙ ГОСУДАРСТВЕННЫЙ УНИВЕРСИТЕТ </w:t>
      </w:r>
    </w:p>
    <w:p w:rsidR="005235ED" w:rsidRDefault="0060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ЭКОНОМИЧЕСКИЙ ФАКУЛЬТЕТ</w:t>
      </w:r>
    </w:p>
    <w:p w:rsidR="005235ED" w:rsidRDefault="0060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инновацион</w:t>
      </w:r>
      <w:r>
        <w:rPr>
          <w:rFonts w:ascii="Times New Roman" w:hAnsi="Times New Roman" w:cs="Times New Roman"/>
          <w:b/>
          <w:sz w:val="28"/>
          <w:szCs w:val="28"/>
        </w:rPr>
        <w:t>ного менеджмента</w:t>
      </w:r>
    </w:p>
    <w:p w:rsidR="005235ED" w:rsidRDefault="0052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ED" w:rsidRDefault="00602EF3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Ван Цзысян</w:t>
      </w:r>
    </w:p>
    <w:p w:rsidR="005235ED" w:rsidRPr="003E389A" w:rsidRDefault="00602EF3">
      <w:pPr>
        <w:pStyle w:val="HTML"/>
        <w:shd w:val="clear" w:color="auto" w:fill="FFFFFF"/>
        <w:spacing w:after="0"/>
        <w:jc w:val="center"/>
        <w:rPr>
          <w:rFonts w:ascii="Times New Roman" w:hAnsi="Times New Roman" w:hint="default"/>
          <w:b/>
          <w:bCs/>
          <w:color w:val="000000"/>
          <w:sz w:val="28"/>
          <w:szCs w:val="28"/>
          <w:lang w:val="ru-RU"/>
        </w:rPr>
      </w:pPr>
      <w:r w:rsidRPr="003E389A">
        <w:rPr>
          <w:rFonts w:ascii="Times New Roman" w:hAnsi="Times New Roman" w:hint="default"/>
          <w:b/>
          <w:bCs/>
          <w:color w:val="000000"/>
          <w:sz w:val="28"/>
          <w:szCs w:val="28"/>
          <w:shd w:val="clear" w:color="auto" w:fill="FFFFFF"/>
          <w:lang w:val="ru-RU"/>
        </w:rPr>
        <w:t>РАЗВИТИЕ ВНЕШНЕЭКОНОМИЧЕСКОЙ ДЕЯТЕЛЬНОСТИ В СФЕРЕ ВЫСОКИХ ТЕХНОЛОГИЙ В КНР</w:t>
      </w:r>
    </w:p>
    <w:p w:rsidR="005235ED" w:rsidRDefault="0052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ED" w:rsidRDefault="0060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5235ED" w:rsidRDefault="005235E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235ED" w:rsidRDefault="005235E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235ED" w:rsidRDefault="00602E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5235ED" w:rsidRDefault="00602E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наук, </w:t>
      </w:r>
    </w:p>
    <w:p w:rsidR="005235ED" w:rsidRDefault="00602EF3">
      <w:pPr>
        <w:wordWrap w:val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доцент Ванькевич А.И.</w:t>
      </w:r>
    </w:p>
    <w:p w:rsidR="005235ED" w:rsidRDefault="005235ED">
      <w:pPr>
        <w:rPr>
          <w:rFonts w:ascii="Times New Roman" w:hAnsi="Times New Roman" w:cs="Times New Roman"/>
          <w:sz w:val="28"/>
          <w:szCs w:val="28"/>
        </w:rPr>
      </w:pPr>
    </w:p>
    <w:p w:rsidR="005235ED" w:rsidRDefault="005235ED">
      <w:pPr>
        <w:rPr>
          <w:rFonts w:ascii="Times New Roman" w:hAnsi="Times New Roman" w:cs="Times New Roman"/>
          <w:sz w:val="28"/>
          <w:szCs w:val="28"/>
        </w:rPr>
      </w:pPr>
    </w:p>
    <w:p w:rsidR="005235ED" w:rsidRDefault="0060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5235ED" w:rsidRDefault="00602EF3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201__г. </w:t>
      </w:r>
    </w:p>
    <w:p w:rsidR="005235ED" w:rsidRDefault="0060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bCs/>
          <w:sz w:val="28"/>
          <w:szCs w:val="28"/>
        </w:rPr>
        <w:t>инновацион</w:t>
      </w:r>
      <w:r>
        <w:rPr>
          <w:rFonts w:ascii="Times New Roman" w:hAnsi="Times New Roman" w:cs="Times New Roman"/>
          <w:sz w:val="28"/>
          <w:szCs w:val="28"/>
        </w:rPr>
        <w:t xml:space="preserve">ного менеджмента </w:t>
      </w:r>
    </w:p>
    <w:p w:rsidR="005235ED" w:rsidRDefault="0060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 </w:t>
      </w:r>
      <w:r>
        <w:rPr>
          <w:rFonts w:ascii="Times New Roman" w:hAnsi="Times New Roman" w:cs="Times New Roman"/>
          <w:sz w:val="28"/>
          <w:szCs w:val="28"/>
        </w:rPr>
        <w:t>Байнёв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5ED" w:rsidRDefault="00602E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5235ED" w:rsidRDefault="0052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35ED" w:rsidRDefault="005235ED">
      <w:pPr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5235ED" w:rsidRDefault="005235ED">
      <w:pPr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5235ED" w:rsidRDefault="00602EF3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235ED" w:rsidRDefault="00602EF3">
      <w:pPr>
        <w:spacing w:after="0" w:line="240" w:lineRule="auto"/>
        <w:ind w:firstLine="709"/>
        <w:jc w:val="center"/>
        <w:rPr>
          <w:rStyle w:val="125pt"/>
          <w:rFonts w:eastAsia="SimSun"/>
          <w:sz w:val="28"/>
          <w:szCs w:val="28"/>
        </w:rPr>
      </w:pPr>
      <w:bookmarkStart w:id="0" w:name="_Toc512496808"/>
      <w:r>
        <w:rPr>
          <w:rStyle w:val="125pt"/>
          <w:rFonts w:eastAsia="SimSun"/>
          <w:b/>
          <w:bCs/>
          <w:sz w:val="28"/>
          <w:szCs w:val="28"/>
        </w:rPr>
        <w:lastRenderedPageBreak/>
        <w:t>РЕФЕРАТ</w:t>
      </w:r>
    </w:p>
    <w:p w:rsidR="005235ED" w:rsidRDefault="005235ED">
      <w:pPr>
        <w:spacing w:after="0" w:line="240" w:lineRule="auto"/>
        <w:ind w:firstLine="709"/>
        <w:jc w:val="both"/>
        <w:rPr>
          <w:rStyle w:val="125pt"/>
          <w:rFonts w:eastAsia="SimSun"/>
          <w:sz w:val="28"/>
          <w:szCs w:val="28"/>
        </w:rPr>
      </w:pPr>
    </w:p>
    <w:p w:rsidR="005235ED" w:rsidRDefault="00602EF3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5pt"/>
          <w:rFonts w:eastAsia="SimSu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 xml:space="preserve">СФЕРА ВЫСОКИХ ТЕХНОЛОГИЙ, ВЫСОКОТЕХНОЛОГИЧНЫЙ ТОВАР, ВЫСОКОТЕХНОЛОГИЧНЫЙ СЕКТОР, ИННОВАЦИИ, </w:t>
      </w:r>
      <w:r>
        <w:rPr>
          <w:rFonts w:ascii="Times New Roman" w:hAnsi="Times New Roman" w:cs="Times New Roman"/>
          <w:sz w:val="28"/>
        </w:rPr>
        <w:t>ВНЕШНЕЭКОНОМИЧЕСКАЯ ДЕЯТЕЛЬНОСТЬ, ЭКСПОРТ</w:t>
      </w:r>
    </w:p>
    <w:p w:rsidR="005235ED" w:rsidRDefault="005235ED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125pt"/>
          <w:rFonts w:eastAsiaTheme="minorHAnsi"/>
          <w:sz w:val="28"/>
          <w:szCs w:val="28"/>
        </w:rPr>
      </w:pPr>
    </w:p>
    <w:p w:rsidR="005235ED" w:rsidRDefault="00602EF3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5pt"/>
          <w:rFonts w:eastAsiaTheme="minorHAnsi"/>
          <w:sz w:val="28"/>
          <w:szCs w:val="28"/>
        </w:rPr>
        <w:t>Цель работы и ее актуальность. Цель работы –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30"/>
        </w:rPr>
        <w:t xml:space="preserve">выявить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перспектив</w:t>
      </w:r>
      <w:r>
        <w:rPr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внешнеэкономической деятельности в сфере высоких технологий КНР.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темы исследования обусловлена необходимостью расширения высо</w:t>
      </w:r>
      <w:r>
        <w:rPr>
          <w:rFonts w:ascii="Times New Roman" w:eastAsia="Times New Roman" w:hAnsi="Times New Roman" w:cs="Times New Roman"/>
          <w:sz w:val="28"/>
          <w:szCs w:val="28"/>
        </w:rPr>
        <w:t>котехнологичного производства и высокотехнологичного экспорта Китая. Выявление потенциала развития внешнеэкономической деятельности КНР в сфере высоких технологий является значимым и актуальным направлением исследований.</w:t>
      </w:r>
    </w:p>
    <w:p w:rsidR="005235ED" w:rsidRDefault="00602EF3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исследования – высокие техно</w:t>
      </w:r>
      <w:r>
        <w:rPr>
          <w:rFonts w:ascii="Times New Roman" w:eastAsia="Times New Roman" w:hAnsi="Times New Roman" w:cs="Times New Roman"/>
          <w:sz w:val="28"/>
          <w:szCs w:val="28"/>
        </w:rPr>
        <w:t>логии.</w:t>
      </w:r>
    </w:p>
    <w:p w:rsidR="005235ED" w:rsidRDefault="00602EF3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исследования – внешнеэкономическая деятельность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высоких технологий в КНР.</w:t>
      </w:r>
    </w:p>
    <w:p w:rsidR="005235ED" w:rsidRDefault="00602EF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5pt"/>
          <w:rFonts w:eastAsia="SimSun"/>
          <w:sz w:val="28"/>
          <w:szCs w:val="28"/>
        </w:rPr>
        <w:t xml:space="preserve">В процессе работы были получены следующие результаты: проведен анализ развития сектора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технологий в КНР.</w:t>
      </w:r>
    </w:p>
    <w:p w:rsidR="005235ED" w:rsidRDefault="00602EF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125pt"/>
          <w:rFonts w:eastAsia="SimSun"/>
          <w:sz w:val="28"/>
          <w:szCs w:val="28"/>
        </w:rPr>
        <w:t>Новизна полученных результатов заключается 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разработке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направлений активизации высокотехнологичных компаний Китая в Республике Беларусь.</w:t>
      </w:r>
    </w:p>
    <w:p w:rsidR="005235ED" w:rsidRDefault="00602EF3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25pt"/>
          <w:rFonts w:eastAsia="SimSun"/>
          <w:sz w:val="28"/>
          <w:szCs w:val="28"/>
        </w:rPr>
        <w:t xml:space="preserve">Структура дипломной работы представлена тремя главами, где  </w:t>
      </w:r>
      <w:r>
        <w:rPr>
          <w:rFonts w:ascii="Times New Roman" w:hAnsi="Times New Roman" w:cs="Times New Roman"/>
          <w:sz w:val="28"/>
          <w:szCs w:val="28"/>
        </w:rPr>
        <w:t xml:space="preserve"> отражены теоретические основы внешнеэкономической деятельности в сфере высоких технологий; проведен ан</w:t>
      </w:r>
      <w:r>
        <w:rPr>
          <w:rFonts w:ascii="Times New Roman" w:hAnsi="Times New Roman" w:cs="Times New Roman"/>
          <w:sz w:val="28"/>
          <w:szCs w:val="28"/>
        </w:rPr>
        <w:t xml:space="preserve">ализ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высоких технологий в КНР; предложены пути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внешнеэкономической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высоких технологий в КНР.</w:t>
      </w:r>
    </w:p>
    <w:p w:rsidR="005235ED" w:rsidRDefault="00602EF3">
      <w:pPr>
        <w:pStyle w:val="32"/>
        <w:shd w:val="clear" w:color="auto" w:fill="auto"/>
        <w:spacing w:after="0" w:line="360" w:lineRule="exact"/>
        <w:ind w:left="20" w:firstLine="709"/>
        <w:jc w:val="both"/>
        <w:rPr>
          <w:rFonts w:cs="Times New Roman"/>
          <w:sz w:val="28"/>
        </w:rPr>
      </w:pPr>
      <w:r>
        <w:rPr>
          <w:rStyle w:val="125pt"/>
          <w:rFonts w:eastAsia="SimSun"/>
          <w:sz w:val="28"/>
          <w:szCs w:val="28"/>
        </w:rPr>
        <w:t xml:space="preserve">Полный объем работы составляет 83 с. Работа содержит 10 рисунков, 20 таблиц, 58 источников, 1 приложение. </w:t>
      </w:r>
    </w:p>
    <w:p w:rsidR="005235ED" w:rsidRDefault="005235ED">
      <w:pPr>
        <w:pStyle w:val="32"/>
        <w:shd w:val="clear" w:color="auto" w:fill="auto"/>
        <w:spacing w:after="0" w:line="360" w:lineRule="exact"/>
        <w:ind w:left="20" w:right="100" w:firstLine="689"/>
        <w:jc w:val="both"/>
        <w:rPr>
          <w:rStyle w:val="125pt"/>
          <w:rFonts w:eastAsia="SimSun"/>
          <w:sz w:val="28"/>
          <w:szCs w:val="28"/>
        </w:rPr>
      </w:pPr>
    </w:p>
    <w:p w:rsidR="005235ED" w:rsidRDefault="00602EF3">
      <w:pPr>
        <w:pStyle w:val="32"/>
        <w:shd w:val="clear" w:color="auto" w:fill="auto"/>
        <w:spacing w:after="0" w:line="360" w:lineRule="exact"/>
        <w:ind w:left="20" w:right="100" w:firstLine="689"/>
        <w:jc w:val="both"/>
        <w:rPr>
          <w:sz w:val="28"/>
          <w:szCs w:val="28"/>
        </w:rPr>
      </w:pPr>
      <w:r>
        <w:rPr>
          <w:rStyle w:val="125pt"/>
          <w:rFonts w:eastAsia="SimSun"/>
          <w:sz w:val="28"/>
          <w:szCs w:val="28"/>
        </w:rPr>
        <w:t>Автор работы подтверждает, что работа выполнена самостоятельно и приведенный в ней расчетно-</w:t>
      </w:r>
      <w:r>
        <w:rPr>
          <w:rStyle w:val="125pt"/>
          <w:rFonts w:eastAsia="SimSun"/>
          <w:sz w:val="28"/>
          <w:szCs w:val="28"/>
        </w:rPr>
        <w:softHyphen/>
        <w:t xml:space="preserve">аналитический материал правильно и объективно отражает </w:t>
      </w:r>
      <w:r>
        <w:rPr>
          <w:rStyle w:val="125pt"/>
          <w:rFonts w:eastAsia="SimSun"/>
          <w:sz w:val="28"/>
          <w:szCs w:val="28"/>
        </w:rPr>
        <w:t>состояние исследуемого процесса, а все заимствованные из литературных и других источников теоретические, методологические положения и концепции сопровождаются ссылками на их авторов.</w:t>
      </w:r>
    </w:p>
    <w:p w:rsidR="005235ED" w:rsidRDefault="00602EF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5235ED" w:rsidRDefault="00602EF3">
      <w:pPr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br w:type="page"/>
      </w:r>
    </w:p>
    <w:p w:rsidR="005235ED" w:rsidRDefault="00602EF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>ABSTRACT</w:t>
      </w:r>
    </w:p>
    <w:p w:rsidR="005235ED" w:rsidRDefault="0052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 xml:space="preserve">Keywords: SPHERE OF HIGH TECHNOLOGIES, 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HIGH-TECH TECHNOLOGY, HIGH-TECH SECTOR, INNOVATION, FOREIGN ECONOMIC ACTIVITY, EXPORT</w:t>
      </w:r>
    </w:p>
    <w:p w:rsidR="005235ED" w:rsidRDefault="005235E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The purpose of the work and its relevance. The purpose of the work is to reveal the identification of the prospects for foreign economic activity in the sphere of high t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echnologies of the People's Republic of China. The relevance of the research topic is due to the need to expand high-tech production and high-tech exports of China. The identification of the potential for the development of China's foreign economic activit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y in the field of high technology is a significant and relevant area of ​​research.</w:t>
      </w: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The object of research is high technology.</w:t>
      </w: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The subject of the study is foreign economic activity in the sphere of high technologies in China.</w:t>
      </w: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In the process of work, the fo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llowing results were obtained: an analysis of the development of the high-tech sector in China.</w:t>
      </w: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The novelty of the results is the development of directions for the activation of high-tech Chinese companies in the Republic of Belarus.</w:t>
      </w:r>
    </w:p>
    <w:p w:rsidR="005235ED" w:rsidRPr="003E389A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 xml:space="preserve">The structure of the 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thesis is presented by three chapters, which reflect the theoretical foundations of foreign economic activity in the sphere of high technologies; an analysis of foreign economic activity in the sphere of high technology in China; ways to improve foreign tr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ade in high-tech in China.</w:t>
      </w: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40"/>
          <w:szCs w:val="28"/>
          <w:shd w:val="clear" w:color="auto" w:fill="FDFDFD"/>
          <w:lang w:val="en-US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 xml:space="preserve">The total work is 83 s. the Work contains 10 figures, 20 tables, 58 sources, 1 </w:t>
      </w:r>
      <w:r>
        <w:rPr>
          <w:rFonts w:ascii="Times New Roman" w:hAnsi="Times New Roman" w:cs="Times New Roman"/>
          <w:sz w:val="28"/>
          <w:szCs w:val="21"/>
          <w:shd w:val="clear" w:color="auto" w:fill="FDFDFD"/>
        </w:rPr>
        <w:t>а</w:t>
      </w:r>
      <w:r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  <w:t>ppendix.</w:t>
      </w:r>
    </w:p>
    <w:p w:rsidR="005235ED" w:rsidRDefault="005235E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  <w:lang w:val="en-US"/>
        </w:rPr>
      </w:pPr>
    </w:p>
    <w:p w:rsidR="005235ED" w:rsidRDefault="00602EF3">
      <w:pPr>
        <w:spacing w:after="0" w:line="360" w:lineRule="exact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author proves that the work done by yourself and you are calculating and analytical material correctly and objectively reflects the sta</w:t>
      </w:r>
      <w:r>
        <w:rPr>
          <w:rFonts w:ascii="Times New Roman" w:hAnsi="Times New Roman" w:cs="Times New Roman"/>
          <w:sz w:val="28"/>
          <w:lang w:val="en-US"/>
        </w:rPr>
        <w:t>te of the investigated process and all borrowed from literature and other sources of theoretical, methodological concepts accompanied by links to their authors.</w:t>
      </w:r>
    </w:p>
    <w:p w:rsidR="005235ED" w:rsidRPr="003E389A" w:rsidRDefault="005235ED">
      <w:pPr>
        <w:jc w:val="right"/>
        <w:rPr>
          <w:sz w:val="28"/>
          <w:szCs w:val="28"/>
          <w:lang w:val="en-US"/>
        </w:rPr>
      </w:pPr>
      <w:bookmarkStart w:id="1" w:name="_GoBack"/>
      <w:bookmarkEnd w:id="0"/>
      <w:bookmarkEnd w:id="1"/>
    </w:p>
    <w:sectPr w:rsidR="005235ED" w:rsidRPr="003E389A">
      <w:footerReference w:type="default" r:id="rId9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F3" w:rsidRDefault="00602EF3">
      <w:pPr>
        <w:spacing w:after="0" w:line="240" w:lineRule="auto"/>
      </w:pPr>
      <w:r>
        <w:separator/>
      </w:r>
    </w:p>
  </w:endnote>
  <w:endnote w:type="continuationSeparator" w:id="0">
    <w:p w:rsidR="00602EF3" w:rsidRDefault="0060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879240"/>
    </w:sdtPr>
    <w:sdtEndPr/>
    <w:sdtContent>
      <w:p w:rsidR="005235ED" w:rsidRDefault="00602EF3">
        <w:pPr>
          <w:pStyle w:val="a7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E389A"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235ED" w:rsidRDefault="00523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F3" w:rsidRDefault="00602EF3">
      <w:pPr>
        <w:spacing w:after="0" w:line="240" w:lineRule="auto"/>
      </w:pPr>
      <w:r>
        <w:separator/>
      </w:r>
    </w:p>
  </w:footnote>
  <w:footnote w:type="continuationSeparator" w:id="0">
    <w:p w:rsidR="00602EF3" w:rsidRDefault="0060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46544E"/>
    <w:multiLevelType w:val="multilevel"/>
    <w:tmpl w:val="0A4654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A5A5FCD"/>
    <w:multiLevelType w:val="multilevel"/>
    <w:tmpl w:val="0A5A5FCD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28545A5D"/>
    <w:multiLevelType w:val="multilevel"/>
    <w:tmpl w:val="28545A5D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21544"/>
    <w:multiLevelType w:val="multilevel"/>
    <w:tmpl w:val="37021544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921DBE"/>
    <w:multiLevelType w:val="multilevel"/>
    <w:tmpl w:val="3B921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886970"/>
    <w:multiLevelType w:val="multilevel"/>
    <w:tmpl w:val="408869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41F05A87"/>
    <w:multiLevelType w:val="multilevel"/>
    <w:tmpl w:val="41F05A8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BF654E"/>
    <w:multiLevelType w:val="multilevel"/>
    <w:tmpl w:val="50BF654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D139F8"/>
    <w:multiLevelType w:val="multilevel"/>
    <w:tmpl w:val="50D139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84287A"/>
    <w:multiLevelType w:val="multilevel"/>
    <w:tmpl w:val="5784287A"/>
    <w:lvl w:ilvl="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0331F"/>
    <w:multiLevelType w:val="multilevel"/>
    <w:tmpl w:val="58B0331F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5D3A507A"/>
    <w:multiLevelType w:val="multilevel"/>
    <w:tmpl w:val="5D3A507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EB6C6E"/>
    <w:multiLevelType w:val="multilevel"/>
    <w:tmpl w:val="63EB6C6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542F02"/>
    <w:multiLevelType w:val="multilevel"/>
    <w:tmpl w:val="64542F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F04959"/>
    <w:multiLevelType w:val="multilevel"/>
    <w:tmpl w:val="6AF04959"/>
    <w:lvl w:ilvl="0">
      <w:start w:val="1"/>
      <w:numFmt w:val="bullet"/>
      <w:lvlText w:val=""/>
      <w:lvlJc w:val="left"/>
      <w:pPr>
        <w:ind w:left="3203" w:hanging="1785"/>
      </w:pPr>
      <w:rPr>
        <w:rFonts w:ascii="Symbol" w:hAnsi="Symbol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07494B"/>
    <w:multiLevelType w:val="multilevel"/>
    <w:tmpl w:val="6E07494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E4655F"/>
    <w:multiLevelType w:val="multilevel"/>
    <w:tmpl w:val="72E4655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BA1443"/>
    <w:multiLevelType w:val="multilevel"/>
    <w:tmpl w:val="79BA144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BA189E"/>
    <w:multiLevelType w:val="multilevel"/>
    <w:tmpl w:val="7DBA189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6"/>
  </w:num>
  <w:num w:numId="5">
    <w:abstractNumId w:val="11"/>
  </w:num>
  <w:num w:numId="6">
    <w:abstractNumId w:val="15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7"/>
  </w:num>
  <w:num w:numId="12">
    <w:abstractNumId w:val="8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0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0"/>
    <w:rsid w:val="000B19A3"/>
    <w:rsid w:val="00127593"/>
    <w:rsid w:val="002563DF"/>
    <w:rsid w:val="003551C8"/>
    <w:rsid w:val="00355E9C"/>
    <w:rsid w:val="003B5D0C"/>
    <w:rsid w:val="003E0B3E"/>
    <w:rsid w:val="003E389A"/>
    <w:rsid w:val="00451F14"/>
    <w:rsid w:val="00457FA5"/>
    <w:rsid w:val="005235ED"/>
    <w:rsid w:val="00537CCF"/>
    <w:rsid w:val="00602EF3"/>
    <w:rsid w:val="006032F8"/>
    <w:rsid w:val="00697DFB"/>
    <w:rsid w:val="00700D24"/>
    <w:rsid w:val="00774795"/>
    <w:rsid w:val="008A5852"/>
    <w:rsid w:val="009937BD"/>
    <w:rsid w:val="00B80D68"/>
    <w:rsid w:val="00B914E6"/>
    <w:rsid w:val="00BF1FA0"/>
    <w:rsid w:val="00C83BF3"/>
    <w:rsid w:val="00D25396"/>
    <w:rsid w:val="00D2699D"/>
    <w:rsid w:val="00D54BCA"/>
    <w:rsid w:val="00D6164E"/>
    <w:rsid w:val="00EC7863"/>
    <w:rsid w:val="00EF18B1"/>
    <w:rsid w:val="03DA3E78"/>
    <w:rsid w:val="2204364C"/>
    <w:rsid w:val="3A54628A"/>
    <w:rsid w:val="3B101AA3"/>
    <w:rsid w:val="3D093DE6"/>
    <w:rsid w:val="416004FF"/>
    <w:rsid w:val="495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5997-4B06-4598-8F54-6D0F457C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="283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Е"/>
    <w:basedOn w:val="a"/>
    <w:link w:val="af2"/>
    <w:qFormat/>
    <w:pPr>
      <w:spacing w:before="40" w:after="60" w:line="360" w:lineRule="exact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af2">
    <w:name w:val="ОСНОВНОЕ Знак"/>
    <w:basedOn w:val="a0"/>
    <w:link w:val="af1"/>
    <w:qFormat/>
    <w:locked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eastAsia="ru-RU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Стиль3"/>
    <w:basedOn w:val="a"/>
    <w:qFormat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4">
    <w:name w:val="Текст вестника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qFormat/>
  </w:style>
  <w:style w:type="character" w:customStyle="1" w:styleId="ac">
    <w:name w:val="Обычный (веб) Знак"/>
    <w:link w:val="ab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2"/>
    <w:qFormat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3"/>
    <w:basedOn w:val="a"/>
    <w:link w:val="af6"/>
    <w:qFormat/>
    <w:pPr>
      <w:widowControl w:val="0"/>
      <w:shd w:val="clear" w:color="auto" w:fill="FFFFFF"/>
      <w:spacing w:after="2280" w:line="322" w:lineRule="exact"/>
      <w:ind w:hanging="420"/>
      <w:jc w:val="center"/>
    </w:pPr>
    <w:rPr>
      <w:rFonts w:ascii="Times New Roman" w:eastAsia="Times New Roman" w:hAnsi="Times New Roman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71662-9CF5-4B5B-8BF1-958AD572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2018-05-18T18:27:00Z</dcterms:created>
  <dcterms:modified xsi:type="dcterms:W3CDTF">2018-07-24T17:33:00Z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