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CA" w:rsidRDefault="002F7ECA" w:rsidP="002F7ECA">
      <w:pPr>
        <w:ind w:firstLine="708"/>
        <w:jc w:val="center"/>
        <w:rPr>
          <w:b/>
          <w:lang w:val="be-BY"/>
        </w:rPr>
      </w:pPr>
      <w:r>
        <w:rPr>
          <w:b/>
          <w:lang w:val="be-BY"/>
        </w:rPr>
        <w:t>Задания для самостоятельной работы</w:t>
      </w:r>
    </w:p>
    <w:p w:rsidR="002F7ECA" w:rsidRPr="002F7ECA" w:rsidRDefault="002F7ECA" w:rsidP="002F7ECA">
      <w:pPr>
        <w:ind w:firstLine="708"/>
        <w:jc w:val="center"/>
        <w:rPr>
          <w:b/>
          <w:lang w:val="be-BY"/>
        </w:rPr>
      </w:pPr>
    </w:p>
    <w:p w:rsidR="002F7ECA" w:rsidRPr="007B67C6" w:rsidRDefault="002F7ECA" w:rsidP="002F7ECA">
      <w:pPr>
        <w:ind w:firstLine="708"/>
        <w:jc w:val="both"/>
      </w:pPr>
      <w:r>
        <w:rPr>
          <w:lang w:val="be-BY"/>
        </w:rPr>
        <w:t>Самостоятельная</w:t>
      </w:r>
      <w:r w:rsidRPr="007B67C6">
        <w:t xml:space="preserve"> работа</w:t>
      </w:r>
      <w:r>
        <w:t xml:space="preserve"> </w:t>
      </w:r>
      <w:r w:rsidRPr="007B67C6">
        <w:t>является</w:t>
      </w:r>
      <w:r>
        <w:t xml:space="preserve"> </w:t>
      </w:r>
      <w:r w:rsidRPr="007B67C6">
        <w:t>важной</w:t>
      </w:r>
      <w:r>
        <w:t xml:space="preserve"> </w:t>
      </w:r>
      <w:r w:rsidRPr="007B67C6">
        <w:t>составной частью</w:t>
      </w:r>
      <w:r>
        <w:t xml:space="preserve"> </w:t>
      </w:r>
      <w:r w:rsidRPr="007B67C6">
        <w:t>работы</w:t>
      </w:r>
      <w:r>
        <w:t xml:space="preserve"> </w:t>
      </w:r>
      <w:r w:rsidRPr="007B67C6">
        <w:t>студента</w:t>
      </w:r>
      <w:r>
        <w:t xml:space="preserve"> </w:t>
      </w:r>
      <w:r w:rsidRPr="007B67C6">
        <w:t>и</w:t>
      </w:r>
      <w:r>
        <w:t xml:space="preserve"> </w:t>
      </w:r>
      <w:r w:rsidRPr="007B67C6">
        <w:t>предназначена</w:t>
      </w:r>
      <w:r>
        <w:t xml:space="preserve"> </w:t>
      </w:r>
      <w:r w:rsidRPr="007B67C6">
        <w:t>для</w:t>
      </w:r>
      <w:r>
        <w:t xml:space="preserve"> </w:t>
      </w:r>
      <w:r w:rsidRPr="007B67C6">
        <w:t>углубленного изучения</w:t>
      </w:r>
      <w:r>
        <w:t xml:space="preserve"> </w:t>
      </w:r>
      <w:r w:rsidRPr="007B67C6">
        <w:t>проблематики</w:t>
      </w:r>
      <w:r>
        <w:t xml:space="preserve"> </w:t>
      </w:r>
      <w:r w:rsidRPr="007B67C6">
        <w:t>дисциплины,</w:t>
      </w:r>
      <w:r>
        <w:t xml:space="preserve"> </w:t>
      </w:r>
      <w:r w:rsidRPr="007B67C6">
        <w:t>развития</w:t>
      </w:r>
      <w:r>
        <w:t xml:space="preserve"> </w:t>
      </w:r>
      <w:r w:rsidRPr="007B67C6">
        <w:t>индивидуальных</w:t>
      </w:r>
      <w:r>
        <w:t xml:space="preserve"> </w:t>
      </w:r>
      <w:r w:rsidRPr="007B67C6">
        <w:t>творческих способностей.</w:t>
      </w:r>
      <w:r>
        <w:t xml:space="preserve"> </w:t>
      </w:r>
    </w:p>
    <w:p w:rsidR="002F7ECA" w:rsidRPr="00597554" w:rsidRDefault="002F7ECA" w:rsidP="002F7ECA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597554">
        <w:rPr>
          <w:rFonts w:ascii="Times New Roman" w:hAnsi="Times New Roman"/>
          <w:sz w:val="28"/>
          <w:szCs w:val="28"/>
        </w:rPr>
        <w:t>Целью является углубленное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 xml:space="preserve">выбранной темы, </w:t>
      </w:r>
      <w:r>
        <w:rPr>
          <w:rFonts w:ascii="Times New Roman" w:hAnsi="Times New Roman"/>
          <w:sz w:val="28"/>
          <w:szCs w:val="28"/>
        </w:rPr>
        <w:t xml:space="preserve">усвоение изученного материала, </w:t>
      </w:r>
      <w:r w:rsidRPr="00597554">
        <w:rPr>
          <w:rFonts w:ascii="Times New Roman" w:hAnsi="Times New Roman"/>
          <w:sz w:val="28"/>
          <w:szCs w:val="28"/>
        </w:rPr>
        <w:t>выработка умения анализировать фактический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,</w:t>
      </w:r>
      <w:r w:rsidRPr="00597554">
        <w:rPr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грамотного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доказательного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554">
        <w:rPr>
          <w:rFonts w:ascii="Times New Roman" w:hAnsi="Times New Roman"/>
          <w:sz w:val="28"/>
          <w:szCs w:val="28"/>
        </w:rPr>
        <w:t>изложения текста.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7ECA" w:rsidRPr="00BF4F22" w:rsidRDefault="002F7ECA" w:rsidP="002F7ECA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BF4F22">
        <w:rPr>
          <w:rFonts w:ascii="Times New Roman" w:hAnsi="Times New Roman"/>
          <w:sz w:val="28"/>
          <w:szCs w:val="28"/>
        </w:rPr>
        <w:t xml:space="preserve">Тематика </w:t>
      </w:r>
      <w:r>
        <w:rPr>
          <w:rFonts w:ascii="Times New Roman" w:hAnsi="Times New Roman"/>
          <w:sz w:val="28"/>
          <w:szCs w:val="28"/>
          <w:lang w:val="be-BY"/>
        </w:rPr>
        <w:t>КСР</w:t>
      </w:r>
      <w:r w:rsidRPr="00BF4F22">
        <w:rPr>
          <w:rFonts w:ascii="Times New Roman" w:hAnsi="Times New Roman"/>
          <w:sz w:val="28"/>
          <w:szCs w:val="28"/>
        </w:rPr>
        <w:t xml:space="preserve">, как правило, не совпадает с формулировкой учебных тем курса и рассчитана на творческое применение полученных знаний, что имеет существенное значение для подготовки будущего специалиста к практической деятельности. </w:t>
      </w:r>
    </w:p>
    <w:p w:rsidR="002F7ECA" w:rsidRPr="008F047F" w:rsidRDefault="002F7ECA" w:rsidP="002F7ECA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4349F0">
        <w:rPr>
          <w:rFonts w:ascii="Times New Roman" w:hAnsi="Times New Roman"/>
          <w:b/>
          <w:sz w:val="28"/>
          <w:szCs w:val="28"/>
          <w:lang w:val="be-BY"/>
        </w:rPr>
        <w:t>КСР</w:t>
      </w:r>
      <w:r w:rsidRPr="008F047F">
        <w:rPr>
          <w:rFonts w:ascii="Times New Roman" w:hAnsi="Times New Roman"/>
          <w:b/>
          <w:sz w:val="28"/>
          <w:szCs w:val="28"/>
        </w:rPr>
        <w:t xml:space="preserve"> представляется в виде презентации.</w:t>
      </w:r>
    </w:p>
    <w:p w:rsidR="002F7ECA" w:rsidRPr="00BF4F22" w:rsidRDefault="002F7ECA" w:rsidP="002F7ECA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</w:t>
      </w:r>
      <w:r w:rsidRPr="00BF4F22">
        <w:rPr>
          <w:rFonts w:ascii="Times New Roman" w:hAnsi="Times New Roman"/>
          <w:sz w:val="28"/>
          <w:szCs w:val="28"/>
        </w:rPr>
        <w:t xml:space="preserve">чтобы работа была зачтена, она должна отвечать следующим требованиям: </w:t>
      </w:r>
    </w:p>
    <w:p w:rsidR="002F7ECA" w:rsidRPr="00BD5460" w:rsidRDefault="002F7ECA" w:rsidP="002F7ECA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Презентац</w:t>
      </w:r>
      <w:proofErr w:type="spellStart"/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D5460">
        <w:rPr>
          <w:rFonts w:ascii="Times New Roman" w:hAnsi="Times New Roman"/>
          <w:sz w:val="28"/>
          <w:szCs w:val="28"/>
        </w:rPr>
        <w:t xml:space="preserve">должна иметь титульный </w:t>
      </w:r>
      <w:r>
        <w:rPr>
          <w:rFonts w:ascii="Times New Roman" w:hAnsi="Times New Roman"/>
          <w:sz w:val="28"/>
          <w:szCs w:val="28"/>
        </w:rPr>
        <w:t>слайд</w:t>
      </w:r>
      <w:r w:rsidRPr="00BD5460">
        <w:rPr>
          <w:rFonts w:ascii="Times New Roman" w:hAnsi="Times New Roman"/>
          <w:sz w:val="28"/>
          <w:szCs w:val="28"/>
        </w:rPr>
        <w:t xml:space="preserve"> с указанием следующих реквизитов: фамилии, имени, отчества студента, специальности, курса, номера группы, адреса электронной почты. </w:t>
      </w:r>
    </w:p>
    <w:p w:rsidR="002F7ECA" w:rsidRPr="00045A65" w:rsidRDefault="002F7ECA" w:rsidP="00045A65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349F0">
        <w:rPr>
          <w:rFonts w:ascii="Times New Roman" w:hAnsi="Times New Roman"/>
          <w:sz w:val="28"/>
          <w:szCs w:val="28"/>
        </w:rPr>
        <w:t xml:space="preserve">Структура презентации предусматривает наличие введения, основной части, заключения и списка использованной литературы. Во введении обосновывается выбор темы, определяется ее значение и актуальность, определяется цель и поставленные конкретные задачи исследования. В основной части излагается суть проблемы, раскрывается тема, определяется авторская позиция, в качестве аргумента и для иллюстраций выдвигаемых положений приводится фактический материал. Завершается работа заключением. В этой части подводятся итоги исследования, излагаются теоретические и практические выводы, предложения, к которым автор пришел в результате исследования. Выводы должны быть краткими, содержать четкие формулировки, органически вытекать из рассматриваемого конкретного материала, быть логически связанными с основным содержанием работы. </w:t>
      </w:r>
      <w:r w:rsidR="00045A65" w:rsidRPr="006D3BDF">
        <w:rPr>
          <w:rFonts w:ascii="Times New Roman" w:hAnsi="Times New Roman"/>
          <w:sz w:val="28"/>
          <w:szCs w:val="28"/>
        </w:rPr>
        <w:t xml:space="preserve">Объем работы не должен превышать 15-20 слайдов. </w:t>
      </w:r>
    </w:p>
    <w:p w:rsidR="00045A65" w:rsidRDefault="002F7ECA" w:rsidP="00045A65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349F0">
        <w:rPr>
          <w:rFonts w:ascii="Times New Roman" w:hAnsi="Times New Roman"/>
          <w:sz w:val="28"/>
          <w:szCs w:val="28"/>
          <w:lang w:val="be-BY"/>
        </w:rPr>
        <w:t>За</w:t>
      </w:r>
      <w:r w:rsidRPr="004349F0">
        <w:rPr>
          <w:rFonts w:ascii="Times New Roman" w:hAnsi="Times New Roman"/>
          <w:sz w:val="28"/>
          <w:szCs w:val="28"/>
        </w:rPr>
        <w:t xml:space="preserve">щита презентаций проходит </w:t>
      </w:r>
      <w:proofErr w:type="spellStart"/>
      <w:r w:rsidRPr="004349F0">
        <w:rPr>
          <w:rFonts w:ascii="Times New Roman" w:hAnsi="Times New Roman"/>
          <w:sz w:val="28"/>
          <w:szCs w:val="28"/>
        </w:rPr>
        <w:t>аудиторно</w:t>
      </w:r>
      <w:proofErr w:type="spellEnd"/>
      <w:r w:rsidRPr="004349F0">
        <w:rPr>
          <w:rFonts w:ascii="Times New Roman" w:hAnsi="Times New Roman"/>
          <w:sz w:val="28"/>
          <w:szCs w:val="28"/>
        </w:rPr>
        <w:t xml:space="preserve"> по расписанию занятий. </w:t>
      </w:r>
    </w:p>
    <w:p w:rsidR="002F7ECA" w:rsidRPr="00045A65" w:rsidRDefault="002F7ECA" w:rsidP="00045A65">
      <w:pPr>
        <w:pStyle w:val="1"/>
        <w:spacing w:before="0"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</w:rPr>
      </w:pPr>
      <w:r w:rsidRPr="00045A65">
        <w:rPr>
          <w:rFonts w:ascii="Times New Roman" w:hAnsi="Times New Roman"/>
          <w:sz w:val="28"/>
          <w:szCs w:val="28"/>
        </w:rPr>
        <w:t xml:space="preserve">КСР оценивается преподавателем с учетом правильности и полноты изложения темы и качества оформления работы. Если работа не зачтена, ее нужно переделать и представить повторно. На защите студент должен в выступлении в течение 3-5 минут раскрыть основное содержание работы, изложить выводы по рассматриваемой проблеме, а также ответить на вопросы. </w:t>
      </w:r>
    </w:p>
    <w:p w:rsidR="002F7ECA" w:rsidRDefault="002F7ECA" w:rsidP="00045A65">
      <w:pPr>
        <w:pStyle w:val="1"/>
        <w:spacing w:before="0" w:beforeAutospacing="0" w:after="45" w:afterAutospacing="0"/>
        <w:ind w:right="15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0CB">
        <w:rPr>
          <w:rFonts w:ascii="Times New Roman" w:hAnsi="Times New Roman"/>
          <w:sz w:val="28"/>
          <w:szCs w:val="28"/>
        </w:rPr>
        <w:t xml:space="preserve">В соответствии с рейтинговой системой за </w:t>
      </w:r>
      <w:r>
        <w:rPr>
          <w:rFonts w:ascii="Times New Roman" w:hAnsi="Times New Roman"/>
          <w:sz w:val="28"/>
          <w:szCs w:val="28"/>
        </w:rPr>
        <w:t>КСР</w:t>
      </w:r>
      <w:r w:rsidRPr="00EE30CB">
        <w:rPr>
          <w:rFonts w:ascii="Times New Roman" w:hAnsi="Times New Roman"/>
          <w:sz w:val="28"/>
          <w:szCs w:val="28"/>
        </w:rPr>
        <w:t xml:space="preserve"> студент может получить максимум </w:t>
      </w:r>
      <w:r w:rsidRPr="00057DD2">
        <w:rPr>
          <w:rFonts w:ascii="Times New Roman" w:hAnsi="Times New Roman"/>
          <w:sz w:val="28"/>
          <w:szCs w:val="28"/>
        </w:rPr>
        <w:t>1</w:t>
      </w:r>
      <w:r w:rsidRPr="00EE30CB">
        <w:rPr>
          <w:rFonts w:ascii="Times New Roman" w:hAnsi="Times New Roman"/>
          <w:sz w:val="28"/>
          <w:szCs w:val="28"/>
        </w:rPr>
        <w:t>0 баллов –</w:t>
      </w:r>
      <w:r w:rsidRPr="00057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среднее арифметическое оценок </w:t>
      </w:r>
      <w:r w:rsidRPr="00EE30CB">
        <w:rPr>
          <w:rFonts w:ascii="Times New Roman" w:hAnsi="Times New Roman"/>
          <w:sz w:val="28"/>
          <w:szCs w:val="28"/>
        </w:rPr>
        <w:t>за содержание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30CB">
        <w:rPr>
          <w:rFonts w:ascii="Times New Roman" w:hAnsi="Times New Roman"/>
          <w:sz w:val="28"/>
          <w:szCs w:val="28"/>
        </w:rPr>
        <w:t>за качество подготовленной презентации</w:t>
      </w:r>
      <w:r>
        <w:rPr>
          <w:rFonts w:ascii="Times New Roman" w:hAnsi="Times New Roman"/>
          <w:sz w:val="28"/>
          <w:szCs w:val="28"/>
        </w:rPr>
        <w:t xml:space="preserve"> и за защиту</w:t>
      </w:r>
      <w:r w:rsidRPr="00EE30CB">
        <w:rPr>
          <w:rFonts w:ascii="Times New Roman" w:hAnsi="Times New Roman"/>
          <w:sz w:val="28"/>
          <w:szCs w:val="28"/>
        </w:rPr>
        <w:t>).</w:t>
      </w:r>
      <w:proofErr w:type="gramEnd"/>
    </w:p>
    <w:p w:rsidR="00045A65" w:rsidRDefault="00045A65" w:rsidP="00045A65">
      <w:pPr>
        <w:pStyle w:val="1"/>
        <w:spacing w:before="0" w:beforeAutospacing="0" w:after="45" w:afterAutospacing="0"/>
        <w:ind w:right="150" w:firstLine="360"/>
        <w:jc w:val="both"/>
        <w:rPr>
          <w:rFonts w:ascii="Times New Roman" w:hAnsi="Times New Roman"/>
          <w:sz w:val="28"/>
          <w:szCs w:val="28"/>
        </w:rPr>
      </w:pP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lastRenderedPageBreak/>
        <w:t xml:space="preserve">Полоцкие князья 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proofErr w:type="spellStart"/>
      <w:r w:rsidRPr="00C8364A">
        <w:t>Туровские</w:t>
      </w:r>
      <w:proofErr w:type="spellEnd"/>
      <w:r w:rsidRPr="00C8364A">
        <w:t xml:space="preserve"> князья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rPr>
          <w:bCs/>
          <w:iCs/>
        </w:rPr>
        <w:t>Великие князья Литовские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>Канцлеры ВКЛ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>Гетманы ВКЛ</w:t>
      </w:r>
    </w:p>
    <w:p w:rsidR="00C8364A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 xml:space="preserve">Короли Речи </w:t>
      </w:r>
      <w:proofErr w:type="spellStart"/>
      <w:r w:rsidRPr="00C8364A">
        <w:t>Посполитой</w:t>
      </w:r>
      <w:proofErr w:type="spellEnd"/>
      <w:r w:rsidR="00C8364A" w:rsidRPr="00C8364A">
        <w:t xml:space="preserve"> </w:t>
      </w:r>
    </w:p>
    <w:p w:rsidR="00C8364A" w:rsidRPr="00C8364A" w:rsidRDefault="00C8364A" w:rsidP="00045A65">
      <w:pPr>
        <w:pStyle w:val="a7"/>
        <w:numPr>
          <w:ilvl w:val="0"/>
          <w:numId w:val="7"/>
        </w:numPr>
        <w:jc w:val="both"/>
      </w:pPr>
      <w:r w:rsidRPr="00C8364A">
        <w:t xml:space="preserve">Белорусские генерал-губернаторы </w:t>
      </w:r>
    </w:p>
    <w:p w:rsidR="00C8364A" w:rsidRPr="00C8364A" w:rsidRDefault="00C8364A" w:rsidP="00C8364A">
      <w:pPr>
        <w:pStyle w:val="a7"/>
        <w:numPr>
          <w:ilvl w:val="0"/>
          <w:numId w:val="7"/>
        </w:numPr>
        <w:jc w:val="both"/>
      </w:pPr>
      <w:r w:rsidRPr="00C8364A">
        <w:t>Минские (гродненские, витебские, могилевские) губернаторы</w:t>
      </w:r>
    </w:p>
    <w:p w:rsidR="00C8364A" w:rsidRPr="00C8364A" w:rsidRDefault="00045A65" w:rsidP="00C8364A">
      <w:pPr>
        <w:pStyle w:val="a7"/>
        <w:numPr>
          <w:ilvl w:val="0"/>
          <w:numId w:val="7"/>
        </w:numPr>
        <w:jc w:val="both"/>
      </w:pPr>
      <w:r w:rsidRPr="00C8364A">
        <w:t>Депутаты от Беларуси в Государственной Думе Российской Империи (</w:t>
      </w:r>
      <w:r w:rsidRPr="00C8364A">
        <w:rPr>
          <w:lang w:val="en-US"/>
        </w:rPr>
        <w:t>I</w:t>
      </w:r>
      <w:r w:rsidRPr="00C8364A">
        <w:t xml:space="preserve"> – </w:t>
      </w:r>
      <w:r w:rsidRPr="00C8364A">
        <w:rPr>
          <w:lang w:val="en-US"/>
        </w:rPr>
        <w:t>IV</w:t>
      </w:r>
      <w:r w:rsidRPr="00C8364A">
        <w:t>)</w:t>
      </w:r>
      <w:r w:rsidR="00C8364A" w:rsidRPr="00C8364A">
        <w:t xml:space="preserve"> </w:t>
      </w:r>
    </w:p>
    <w:p w:rsidR="00C8364A" w:rsidRPr="00C8364A" w:rsidRDefault="00C8364A" w:rsidP="00C8364A">
      <w:pPr>
        <w:pStyle w:val="a7"/>
        <w:numPr>
          <w:ilvl w:val="0"/>
          <w:numId w:val="7"/>
        </w:numPr>
        <w:jc w:val="both"/>
      </w:pPr>
      <w:r w:rsidRPr="00C8364A">
        <w:t>Первые декреты советской власти о демократизации деятельности советских учреждений.</w:t>
      </w:r>
    </w:p>
    <w:p w:rsidR="00045A65" w:rsidRPr="00C8364A" w:rsidRDefault="00C8364A" w:rsidP="00045A65">
      <w:pPr>
        <w:pStyle w:val="a7"/>
        <w:numPr>
          <w:ilvl w:val="0"/>
          <w:numId w:val="7"/>
        </w:numPr>
        <w:jc w:val="both"/>
      </w:pPr>
      <w:proofErr w:type="spellStart"/>
      <w:r w:rsidRPr="00C8364A">
        <w:t>Облискомзап</w:t>
      </w:r>
      <w:proofErr w:type="spellEnd"/>
      <w:r w:rsidRPr="00C8364A">
        <w:t>: структура и персональный состав</w:t>
      </w:r>
      <w:r w:rsidR="00045A65" w:rsidRPr="00C8364A">
        <w:t xml:space="preserve"> </w:t>
      </w:r>
    </w:p>
    <w:p w:rsidR="00045A65" w:rsidRPr="00C8364A" w:rsidRDefault="00045A65" w:rsidP="00045A65">
      <w:pPr>
        <w:pStyle w:val="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C8364A">
        <w:rPr>
          <w:rFonts w:ascii="Times New Roman" w:hAnsi="Times New Roman"/>
          <w:sz w:val="28"/>
          <w:szCs w:val="28"/>
        </w:rPr>
        <w:t>Чрезвычайные органы Советской власти в Беларуси (1917-1921г.г.): комбеды.</w:t>
      </w:r>
    </w:p>
    <w:p w:rsidR="00045A65" w:rsidRPr="00C8364A" w:rsidRDefault="00045A65" w:rsidP="00045A65">
      <w:pPr>
        <w:pStyle w:val="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8364A">
        <w:rPr>
          <w:rFonts w:ascii="Times New Roman" w:hAnsi="Times New Roman"/>
          <w:sz w:val="28"/>
          <w:szCs w:val="28"/>
        </w:rPr>
        <w:t>Чрезвычайные органы Советской власти в Беларуси (1917-1921г.г.): ревкомы.</w:t>
      </w:r>
    </w:p>
    <w:p w:rsidR="00045A65" w:rsidRPr="00C8364A" w:rsidRDefault="00045A65" w:rsidP="00C274D0">
      <w:pPr>
        <w:pStyle w:val="a7"/>
        <w:numPr>
          <w:ilvl w:val="0"/>
          <w:numId w:val="7"/>
        </w:numPr>
        <w:jc w:val="both"/>
      </w:pPr>
      <w:r w:rsidRPr="00C8364A">
        <w:t>Административно-командная система управления: сущность, основные характерные черты.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Организационный механизм партийного руководства советским обществом.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Руководители КПБ.</w:t>
      </w:r>
      <w:r w:rsidRPr="00C274D0">
        <w:t xml:space="preserve"> 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  <w:rPr>
          <w:b/>
        </w:rPr>
      </w:pPr>
      <w:r w:rsidRPr="00C8364A">
        <w:t>Номенклатурный принцип подбора и расстановки руководящих кадров.</w:t>
      </w:r>
    </w:p>
    <w:p w:rsidR="00FE62E0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Формирование государственного аппарата БССР в 1920-1922 гг.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Административно-территориальное устройство и местные органы государственной власти в 1920-1930-е гг.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 xml:space="preserve">Изменения в судебной системе в 20-е гг. ХХ </w:t>
      </w:r>
      <w:proofErr w:type="gramStart"/>
      <w:r w:rsidRPr="00C8364A">
        <w:t>в</w:t>
      </w:r>
      <w:proofErr w:type="gramEnd"/>
      <w:r w:rsidRPr="00C8364A">
        <w:t>.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Изменение государственного управления БССР в условиях «новой экономической политики».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>Система карательно-репрессивных органов и их место в государственном механизме СССР.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Органы управления на территории Западной Беларуси в 1921 — 1939 гг.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 xml:space="preserve">Изменения в системе государственного управления СССР накануне и в годы Великой Отечественной войны. </w:t>
      </w:r>
    </w:p>
    <w:p w:rsidR="00FE62E0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 xml:space="preserve">Председатели Верховного Совета БССР и его Президиума 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Главы правительства БССР.</w:t>
      </w:r>
    </w:p>
    <w:p w:rsidR="00FE62E0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Госучреждения СССР в период перестройки (апрель 1985 – декабрь 1991 гг.).</w:t>
      </w:r>
      <w:r w:rsidRPr="00C274D0">
        <w:t xml:space="preserve"> </w:t>
      </w:r>
    </w:p>
    <w:p w:rsidR="00FE62E0" w:rsidRPr="00C8364A" w:rsidRDefault="00FE62E0" w:rsidP="00FE62E0">
      <w:pPr>
        <w:pStyle w:val="a7"/>
        <w:numPr>
          <w:ilvl w:val="0"/>
          <w:numId w:val="7"/>
        </w:numPr>
        <w:jc w:val="both"/>
      </w:pPr>
      <w:r w:rsidRPr="00C8364A">
        <w:t>Верховный Совет Республики Беларусь: председатели и организационная структура</w:t>
      </w:r>
    </w:p>
    <w:p w:rsidR="00C274D0" w:rsidRPr="00C8364A" w:rsidRDefault="00045A65" w:rsidP="00FE62E0">
      <w:pPr>
        <w:pStyle w:val="a7"/>
        <w:numPr>
          <w:ilvl w:val="0"/>
          <w:numId w:val="7"/>
        </w:numPr>
        <w:jc w:val="both"/>
      </w:pPr>
      <w:r w:rsidRPr="00C8364A">
        <w:t>Администрация Президента: устройство и роль в системе государственных органов. Главы Администрации.</w:t>
      </w:r>
    </w:p>
    <w:p w:rsidR="00045A65" w:rsidRPr="00C274D0" w:rsidRDefault="00C274D0" w:rsidP="00C274D0">
      <w:pPr>
        <w:pStyle w:val="a7"/>
        <w:numPr>
          <w:ilvl w:val="0"/>
          <w:numId w:val="7"/>
        </w:numPr>
        <w:jc w:val="both"/>
      </w:pPr>
      <w:r w:rsidRPr="00C8364A">
        <w:lastRenderedPageBreak/>
        <w:t>Национальное Собрание: механизм формирования, основные элементы организационного устройства. Председатели Совета Республики и Палаты Представителей Национального Собрания Республики Беларусь.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 xml:space="preserve">Правительство — Совет Министров Республики Беларусь: общая характеристика составов, Главы правительства. </w:t>
      </w:r>
    </w:p>
    <w:p w:rsidR="00C274D0" w:rsidRDefault="00045A65" w:rsidP="00C274D0">
      <w:pPr>
        <w:pStyle w:val="a7"/>
        <w:numPr>
          <w:ilvl w:val="0"/>
          <w:numId w:val="7"/>
        </w:numPr>
        <w:jc w:val="both"/>
      </w:pPr>
      <w:r w:rsidRPr="00C8364A">
        <w:t>Дипломатические представительства Беларуси и их роль в государственном управлении.</w:t>
      </w:r>
      <w:r w:rsidR="00C274D0" w:rsidRPr="00C274D0">
        <w:t xml:space="preserve"> </w:t>
      </w:r>
    </w:p>
    <w:p w:rsidR="008C37A7" w:rsidRPr="008C37A7" w:rsidRDefault="008C37A7" w:rsidP="008C37A7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8C37A7">
        <w:rPr>
          <w:sz w:val="28"/>
          <w:szCs w:val="28"/>
        </w:rPr>
        <w:t>Министры (Наркомы) иностранных дел Б</w:t>
      </w:r>
      <w:r w:rsidRPr="008C37A7">
        <w:rPr>
          <w:sz w:val="28"/>
          <w:szCs w:val="28"/>
          <w:lang w:val="be-BY"/>
        </w:rPr>
        <w:t>еларус</w:t>
      </w:r>
      <w:r w:rsidRPr="008C37A7">
        <w:rPr>
          <w:sz w:val="28"/>
          <w:szCs w:val="28"/>
        </w:rPr>
        <w:t>и.</w:t>
      </w:r>
    </w:p>
    <w:p w:rsidR="00C274D0" w:rsidRDefault="00C274D0" w:rsidP="00C274D0">
      <w:pPr>
        <w:pStyle w:val="a7"/>
        <w:numPr>
          <w:ilvl w:val="0"/>
          <w:numId w:val="7"/>
        </w:numPr>
        <w:jc w:val="both"/>
      </w:pPr>
      <w:r w:rsidRPr="00C8364A">
        <w:t xml:space="preserve">Органы </w:t>
      </w:r>
      <w:r>
        <w:t>государственного</w:t>
      </w:r>
      <w:r w:rsidRPr="00C8364A">
        <w:t xml:space="preserve"> управления Республики Беларусь: министерства. Организационное устройство основных ведомств Республики Беларусь</w:t>
      </w:r>
    </w:p>
    <w:p w:rsidR="00045A65" w:rsidRPr="00C8364A" w:rsidRDefault="00C274D0" w:rsidP="00045A65">
      <w:pPr>
        <w:pStyle w:val="a7"/>
        <w:numPr>
          <w:ilvl w:val="0"/>
          <w:numId w:val="7"/>
        </w:numPr>
        <w:jc w:val="both"/>
      </w:pPr>
      <w:r w:rsidRPr="00C8364A">
        <w:t xml:space="preserve">Органы </w:t>
      </w:r>
      <w:r>
        <w:t>государственного</w:t>
      </w:r>
      <w:r w:rsidRPr="00C8364A">
        <w:t xml:space="preserve"> управления Республики Беларусь: госкомитеты. Организационное устройство основных ведомств Республики Беларусь</w:t>
      </w:r>
    </w:p>
    <w:p w:rsidR="00045A65" w:rsidRPr="00C8364A" w:rsidRDefault="00C274D0" w:rsidP="00045A65">
      <w:pPr>
        <w:pStyle w:val="a7"/>
        <w:numPr>
          <w:ilvl w:val="0"/>
          <w:numId w:val="7"/>
        </w:numPr>
        <w:jc w:val="both"/>
      </w:pPr>
      <w:r w:rsidRPr="00C8364A">
        <w:t>Республиканские концерны как органы государственного управления отраслями и сферами экономики Республики Беларусь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>Судебная система Республики Беларусь.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>Вооруженные силы Республики Беларусь: организационный аспект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>Республиканские концерны как органы государственного управления отраслями и сферами экономики Республики Беларусь</w:t>
      </w:r>
    </w:p>
    <w:p w:rsidR="00045A65" w:rsidRPr="00C8364A" w:rsidRDefault="00045A65" w:rsidP="00045A65">
      <w:pPr>
        <w:pStyle w:val="a7"/>
        <w:numPr>
          <w:ilvl w:val="0"/>
          <w:numId w:val="7"/>
        </w:numPr>
        <w:jc w:val="both"/>
      </w:pPr>
      <w:r w:rsidRPr="00C8364A">
        <w:t>Интеграционные процессы на постсоветском пространстве: организационный аспект</w:t>
      </w:r>
    </w:p>
    <w:p w:rsidR="002F7ECA" w:rsidRPr="004349F0" w:rsidRDefault="002F7ECA" w:rsidP="002F7ECA"/>
    <w:p w:rsidR="00045A65" w:rsidRPr="00205450" w:rsidRDefault="00045A65" w:rsidP="00045A65"/>
    <w:sectPr w:rsidR="00045A65" w:rsidRPr="00205450" w:rsidSect="00524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02" w:rsidRDefault="00524302" w:rsidP="00524302">
      <w:r>
        <w:separator/>
      </w:r>
    </w:p>
  </w:endnote>
  <w:endnote w:type="continuationSeparator" w:id="0">
    <w:p w:rsidR="00524302" w:rsidRDefault="00524302" w:rsidP="0052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4C" w:rsidRDefault="00916D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4C" w:rsidRDefault="00916D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4C" w:rsidRDefault="00916D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02" w:rsidRDefault="00524302" w:rsidP="00524302">
      <w:r>
        <w:separator/>
      </w:r>
    </w:p>
  </w:footnote>
  <w:footnote w:type="continuationSeparator" w:id="0">
    <w:p w:rsidR="00524302" w:rsidRDefault="00524302" w:rsidP="00524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4C" w:rsidRDefault="00916D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32657"/>
      <w:docPartObj>
        <w:docPartGallery w:val="Page Numbers (Top of Page)"/>
        <w:docPartUnique/>
      </w:docPartObj>
    </w:sdtPr>
    <w:sdtContent>
      <w:p w:rsidR="00524302" w:rsidRDefault="00542F3B">
        <w:pPr>
          <w:pStyle w:val="a8"/>
          <w:jc w:val="right"/>
        </w:pPr>
        <w:r w:rsidRPr="00916D4C">
          <w:rPr>
            <w:sz w:val="20"/>
          </w:rPr>
          <w:fldChar w:fldCharType="begin"/>
        </w:r>
        <w:r w:rsidRPr="00916D4C">
          <w:rPr>
            <w:sz w:val="20"/>
          </w:rPr>
          <w:instrText xml:space="preserve"> PAGE   \* MERGEFORMAT </w:instrText>
        </w:r>
        <w:r w:rsidRPr="00916D4C">
          <w:rPr>
            <w:sz w:val="20"/>
          </w:rPr>
          <w:fldChar w:fldCharType="separate"/>
        </w:r>
        <w:r w:rsidR="00916D4C">
          <w:rPr>
            <w:noProof/>
            <w:sz w:val="20"/>
          </w:rPr>
          <w:t>20</w:t>
        </w:r>
        <w:r w:rsidRPr="00916D4C">
          <w:rPr>
            <w:sz w:val="20"/>
          </w:rPr>
          <w:fldChar w:fldCharType="end"/>
        </w:r>
      </w:p>
    </w:sdtContent>
  </w:sdt>
  <w:p w:rsidR="00524302" w:rsidRDefault="005243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4C" w:rsidRDefault="00916D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EF"/>
    <w:multiLevelType w:val="hybridMultilevel"/>
    <w:tmpl w:val="284C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A1D31"/>
    <w:multiLevelType w:val="hybridMultilevel"/>
    <w:tmpl w:val="E77E4AB0"/>
    <w:lvl w:ilvl="0" w:tplc="962CB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6B64B7"/>
    <w:multiLevelType w:val="hybridMultilevel"/>
    <w:tmpl w:val="EA7067E0"/>
    <w:lvl w:ilvl="0" w:tplc="7CD0C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6D69"/>
    <w:multiLevelType w:val="hybridMultilevel"/>
    <w:tmpl w:val="61CA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F399E"/>
    <w:multiLevelType w:val="hybridMultilevel"/>
    <w:tmpl w:val="3144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F6783"/>
    <w:multiLevelType w:val="hybridMultilevel"/>
    <w:tmpl w:val="7F349300"/>
    <w:lvl w:ilvl="0" w:tplc="F9A4C4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57F"/>
    <w:rsid w:val="00045A65"/>
    <w:rsid w:val="002F7ECA"/>
    <w:rsid w:val="00524302"/>
    <w:rsid w:val="00542F3B"/>
    <w:rsid w:val="006377B4"/>
    <w:rsid w:val="008C37A7"/>
    <w:rsid w:val="008E257F"/>
    <w:rsid w:val="00916D4C"/>
    <w:rsid w:val="00C274D0"/>
    <w:rsid w:val="00C8364A"/>
    <w:rsid w:val="00F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C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F7ECA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3">
    <w:name w:val="Body Text"/>
    <w:basedOn w:val="a"/>
    <w:link w:val="a4"/>
    <w:rsid w:val="002F7ECA"/>
    <w:pPr>
      <w:ind w:right="-90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F7EC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F7EC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2F7ECA"/>
    <w:rPr>
      <w:color w:val="000000"/>
      <w:u w:val="single"/>
    </w:rPr>
  </w:style>
  <w:style w:type="paragraph" w:styleId="a7">
    <w:name w:val="List Paragraph"/>
    <w:basedOn w:val="a"/>
    <w:uiPriority w:val="34"/>
    <w:qFormat/>
    <w:rsid w:val="002F7EC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30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4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30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Genja</dc:creator>
  <cp:keywords/>
  <dc:description/>
  <cp:lastModifiedBy>Genja</cp:lastModifiedBy>
  <cp:revision>6</cp:revision>
  <dcterms:created xsi:type="dcterms:W3CDTF">2017-12-01T06:40:00Z</dcterms:created>
  <dcterms:modified xsi:type="dcterms:W3CDTF">2017-12-01T08:32:00Z</dcterms:modified>
</cp:coreProperties>
</file>