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A3" w:rsidRPr="00F438AD" w:rsidRDefault="00A812A3" w:rsidP="00A812A3">
      <w:pPr>
        <w:spacing w:line="480" w:lineRule="auto"/>
        <w:jc w:val="center"/>
        <w:rPr>
          <w:b/>
          <w:sz w:val="28"/>
          <w:szCs w:val="28"/>
        </w:rPr>
      </w:pPr>
      <w:r w:rsidRPr="00F438AD">
        <w:rPr>
          <w:b/>
          <w:sz w:val="28"/>
          <w:szCs w:val="28"/>
        </w:rPr>
        <w:t>МИНИСТЕРСТВО ОБРАЗОВАНИЯ РЕСПУБЛИКИ БЕЛАРУСЬ</w:t>
      </w:r>
    </w:p>
    <w:p w:rsidR="00A812A3" w:rsidRPr="00F438AD" w:rsidRDefault="00A812A3" w:rsidP="00A812A3">
      <w:pPr>
        <w:spacing w:line="480" w:lineRule="auto"/>
        <w:jc w:val="center"/>
        <w:rPr>
          <w:b/>
          <w:sz w:val="28"/>
          <w:szCs w:val="28"/>
        </w:rPr>
      </w:pPr>
      <w:r w:rsidRPr="00F438AD">
        <w:rPr>
          <w:b/>
          <w:sz w:val="28"/>
          <w:szCs w:val="28"/>
        </w:rPr>
        <w:t>БЕЛОРУССКИЙ ГОСУДАРСТВЕННЫЙ УНИВЕРСИТЕТ</w:t>
      </w:r>
    </w:p>
    <w:p w:rsidR="00A812A3" w:rsidRPr="00F438AD" w:rsidRDefault="00A812A3" w:rsidP="00A812A3">
      <w:pPr>
        <w:spacing w:line="480" w:lineRule="auto"/>
        <w:jc w:val="center"/>
        <w:rPr>
          <w:b/>
          <w:sz w:val="28"/>
          <w:szCs w:val="28"/>
        </w:rPr>
      </w:pPr>
      <w:r w:rsidRPr="00F438AD">
        <w:rPr>
          <w:b/>
          <w:sz w:val="28"/>
          <w:szCs w:val="28"/>
        </w:rPr>
        <w:t>ЭКОНОМИЧЕСКИЙ ФАКУЛЬТЕТ</w:t>
      </w:r>
    </w:p>
    <w:p w:rsidR="00A812A3" w:rsidRPr="00F438AD" w:rsidRDefault="00A812A3" w:rsidP="00A812A3">
      <w:pPr>
        <w:spacing w:line="480" w:lineRule="auto"/>
        <w:jc w:val="center"/>
        <w:rPr>
          <w:b/>
          <w:sz w:val="28"/>
          <w:szCs w:val="28"/>
        </w:rPr>
      </w:pPr>
      <w:r w:rsidRPr="00F438AD">
        <w:rPr>
          <w:b/>
          <w:sz w:val="28"/>
          <w:szCs w:val="28"/>
        </w:rPr>
        <w:t>Кафедра корпоративных финансов</w:t>
      </w:r>
    </w:p>
    <w:p w:rsidR="00A812A3" w:rsidRPr="00F438AD" w:rsidRDefault="00A812A3" w:rsidP="00A812A3">
      <w:pPr>
        <w:jc w:val="center"/>
        <w:rPr>
          <w:sz w:val="28"/>
          <w:szCs w:val="28"/>
        </w:rPr>
      </w:pPr>
    </w:p>
    <w:p w:rsidR="00A812A3" w:rsidRPr="00F438AD" w:rsidRDefault="00A812A3" w:rsidP="00A812A3">
      <w:pPr>
        <w:jc w:val="center"/>
        <w:rPr>
          <w:sz w:val="28"/>
          <w:szCs w:val="28"/>
        </w:rPr>
      </w:pPr>
    </w:p>
    <w:p w:rsidR="00A812A3" w:rsidRPr="00F438AD" w:rsidRDefault="00A812A3" w:rsidP="00A812A3">
      <w:pPr>
        <w:jc w:val="center"/>
        <w:rPr>
          <w:sz w:val="28"/>
          <w:szCs w:val="28"/>
        </w:rPr>
      </w:pPr>
    </w:p>
    <w:p w:rsidR="00A812A3" w:rsidRPr="00F438AD" w:rsidRDefault="00A812A3" w:rsidP="00A812A3">
      <w:pPr>
        <w:jc w:val="center"/>
        <w:rPr>
          <w:sz w:val="28"/>
          <w:szCs w:val="28"/>
        </w:rPr>
      </w:pPr>
    </w:p>
    <w:p w:rsidR="00A812A3" w:rsidRPr="00F438AD" w:rsidRDefault="00A812A3" w:rsidP="00A812A3">
      <w:pPr>
        <w:jc w:val="center"/>
        <w:rPr>
          <w:sz w:val="28"/>
          <w:szCs w:val="28"/>
        </w:rPr>
      </w:pPr>
    </w:p>
    <w:p w:rsidR="00A812A3" w:rsidRPr="00F438AD" w:rsidRDefault="00A812A3" w:rsidP="00A812A3">
      <w:pPr>
        <w:jc w:val="center"/>
        <w:rPr>
          <w:sz w:val="28"/>
          <w:szCs w:val="28"/>
        </w:rPr>
      </w:pPr>
    </w:p>
    <w:p w:rsidR="00A812A3" w:rsidRPr="00F438AD" w:rsidRDefault="00A812A3" w:rsidP="00A812A3">
      <w:pPr>
        <w:jc w:val="center"/>
        <w:rPr>
          <w:sz w:val="28"/>
          <w:szCs w:val="28"/>
        </w:rPr>
      </w:pPr>
      <w:r w:rsidRPr="00F438AD">
        <w:rPr>
          <w:sz w:val="28"/>
          <w:szCs w:val="28"/>
        </w:rPr>
        <w:t>АЛЕКСЕЕВА Янина Александровна</w:t>
      </w:r>
    </w:p>
    <w:p w:rsidR="00A812A3" w:rsidRPr="00F438AD" w:rsidRDefault="00A812A3" w:rsidP="00A812A3">
      <w:pPr>
        <w:ind w:firstLine="709"/>
        <w:jc w:val="center"/>
        <w:rPr>
          <w:b/>
          <w:sz w:val="28"/>
          <w:szCs w:val="28"/>
        </w:rPr>
      </w:pPr>
    </w:p>
    <w:p w:rsidR="00A812A3" w:rsidRPr="00F438AD" w:rsidRDefault="00A812A3" w:rsidP="00A812A3">
      <w:pPr>
        <w:jc w:val="center"/>
        <w:rPr>
          <w:sz w:val="28"/>
          <w:szCs w:val="28"/>
        </w:rPr>
      </w:pPr>
      <w:r w:rsidRPr="00F438AD">
        <w:rPr>
          <w:b/>
          <w:sz w:val="28"/>
          <w:szCs w:val="28"/>
        </w:rPr>
        <w:t>СОВЕРШЕНСТВОВАНИЕ СИСТЕМЫ ТРАНСФЕРТНОГО ЦЕНООБРАЗОВАНИЯ В УПРАВЛЕНЧЕСКОМ УЧЕТЕ БАНКА</w:t>
      </w:r>
    </w:p>
    <w:p w:rsidR="00A812A3" w:rsidRPr="00F438AD" w:rsidRDefault="00A812A3" w:rsidP="00A812A3">
      <w:pPr>
        <w:jc w:val="center"/>
        <w:rPr>
          <w:sz w:val="28"/>
          <w:szCs w:val="28"/>
        </w:rPr>
      </w:pPr>
    </w:p>
    <w:p w:rsidR="00A812A3" w:rsidRPr="00F438AD" w:rsidRDefault="00A812A3" w:rsidP="00A812A3">
      <w:pPr>
        <w:jc w:val="center"/>
        <w:rPr>
          <w:sz w:val="28"/>
          <w:szCs w:val="28"/>
        </w:rPr>
      </w:pPr>
      <w:r w:rsidRPr="00F438AD">
        <w:rPr>
          <w:sz w:val="28"/>
          <w:szCs w:val="28"/>
        </w:rPr>
        <w:t>Магистерская диссертация</w:t>
      </w:r>
    </w:p>
    <w:p w:rsidR="00A812A3" w:rsidRPr="00F438AD" w:rsidRDefault="00A812A3" w:rsidP="00A812A3">
      <w:pPr>
        <w:jc w:val="center"/>
        <w:rPr>
          <w:sz w:val="28"/>
          <w:szCs w:val="28"/>
        </w:rPr>
      </w:pPr>
    </w:p>
    <w:p w:rsidR="00A812A3" w:rsidRPr="00F438AD" w:rsidRDefault="00A812A3" w:rsidP="00A812A3">
      <w:pPr>
        <w:ind w:firstLine="709"/>
        <w:jc w:val="center"/>
        <w:rPr>
          <w:sz w:val="28"/>
          <w:szCs w:val="28"/>
        </w:rPr>
      </w:pPr>
      <w:r w:rsidRPr="00F438AD">
        <w:rPr>
          <w:sz w:val="28"/>
          <w:szCs w:val="28"/>
        </w:rPr>
        <w:t>специальность 1-25 81 04 «Финансы и кредит»</w:t>
      </w:r>
    </w:p>
    <w:p w:rsidR="00A812A3" w:rsidRPr="00F438AD" w:rsidRDefault="00A812A3" w:rsidP="00A812A3">
      <w:pPr>
        <w:ind w:firstLine="709"/>
        <w:rPr>
          <w:sz w:val="28"/>
          <w:szCs w:val="28"/>
        </w:rPr>
      </w:pPr>
    </w:p>
    <w:p w:rsidR="00A812A3" w:rsidRPr="00F438AD" w:rsidRDefault="00A812A3" w:rsidP="00A812A3">
      <w:pPr>
        <w:ind w:firstLine="709"/>
        <w:rPr>
          <w:sz w:val="28"/>
          <w:szCs w:val="28"/>
        </w:rPr>
      </w:pPr>
    </w:p>
    <w:p w:rsidR="00A812A3" w:rsidRPr="00F438AD" w:rsidRDefault="00A812A3" w:rsidP="00A812A3">
      <w:pPr>
        <w:ind w:firstLine="709"/>
        <w:rPr>
          <w:sz w:val="28"/>
          <w:szCs w:val="28"/>
        </w:rPr>
      </w:pPr>
    </w:p>
    <w:p w:rsidR="00A812A3" w:rsidRPr="00F438AD" w:rsidRDefault="00A812A3" w:rsidP="00A812A3">
      <w:pPr>
        <w:ind w:firstLine="709"/>
        <w:rPr>
          <w:sz w:val="28"/>
          <w:szCs w:val="28"/>
        </w:rPr>
      </w:pPr>
    </w:p>
    <w:p w:rsidR="00A812A3" w:rsidRPr="00F438AD" w:rsidRDefault="00A812A3" w:rsidP="00A812A3">
      <w:pPr>
        <w:ind w:firstLine="709"/>
        <w:rPr>
          <w:sz w:val="28"/>
          <w:szCs w:val="28"/>
        </w:rPr>
      </w:pPr>
    </w:p>
    <w:p w:rsidR="00A812A3" w:rsidRPr="00F438AD" w:rsidRDefault="00A812A3" w:rsidP="00A812A3">
      <w:pPr>
        <w:ind w:firstLine="709"/>
        <w:rPr>
          <w:sz w:val="28"/>
          <w:szCs w:val="28"/>
        </w:rPr>
      </w:pPr>
    </w:p>
    <w:p w:rsidR="00A812A3" w:rsidRPr="00F438AD" w:rsidRDefault="00A812A3" w:rsidP="00A812A3">
      <w:pPr>
        <w:ind w:firstLine="709"/>
        <w:rPr>
          <w:sz w:val="28"/>
          <w:szCs w:val="28"/>
        </w:rPr>
      </w:pPr>
    </w:p>
    <w:p w:rsidR="00A812A3" w:rsidRPr="00F438AD" w:rsidRDefault="00A812A3" w:rsidP="00A812A3">
      <w:pPr>
        <w:ind w:firstLine="4536"/>
        <w:rPr>
          <w:sz w:val="28"/>
          <w:szCs w:val="28"/>
        </w:rPr>
      </w:pPr>
      <w:r w:rsidRPr="00F438AD">
        <w:rPr>
          <w:sz w:val="28"/>
          <w:szCs w:val="28"/>
        </w:rPr>
        <w:t>Научный руководитель Тарасов</w:t>
      </w:r>
    </w:p>
    <w:p w:rsidR="00A812A3" w:rsidRPr="00F438AD" w:rsidRDefault="00A812A3" w:rsidP="00A812A3">
      <w:pPr>
        <w:ind w:firstLine="4536"/>
        <w:rPr>
          <w:sz w:val="28"/>
          <w:szCs w:val="28"/>
        </w:rPr>
      </w:pPr>
      <w:r w:rsidRPr="00F438AD">
        <w:rPr>
          <w:sz w:val="28"/>
          <w:szCs w:val="28"/>
        </w:rPr>
        <w:t>Владимир Иванович,</w:t>
      </w:r>
    </w:p>
    <w:p w:rsidR="00A812A3" w:rsidRPr="00F438AD" w:rsidRDefault="00A812A3" w:rsidP="00A812A3">
      <w:pPr>
        <w:ind w:firstLine="4536"/>
        <w:rPr>
          <w:sz w:val="28"/>
          <w:szCs w:val="28"/>
        </w:rPr>
      </w:pPr>
      <w:r w:rsidRPr="00F438AD">
        <w:rPr>
          <w:sz w:val="28"/>
          <w:szCs w:val="28"/>
        </w:rPr>
        <w:t>доктор экономических наук, профессор</w:t>
      </w:r>
    </w:p>
    <w:p w:rsidR="00A812A3" w:rsidRPr="00F438AD" w:rsidRDefault="00A812A3" w:rsidP="00A812A3">
      <w:pPr>
        <w:rPr>
          <w:sz w:val="28"/>
          <w:szCs w:val="28"/>
        </w:rPr>
      </w:pPr>
    </w:p>
    <w:p w:rsidR="00A812A3" w:rsidRPr="00F438AD" w:rsidRDefault="00A812A3" w:rsidP="00A812A3">
      <w:pPr>
        <w:rPr>
          <w:sz w:val="28"/>
          <w:szCs w:val="28"/>
        </w:rPr>
      </w:pPr>
    </w:p>
    <w:p w:rsidR="00A812A3" w:rsidRPr="00F438AD" w:rsidRDefault="00A812A3" w:rsidP="00A812A3">
      <w:pPr>
        <w:rPr>
          <w:sz w:val="28"/>
          <w:szCs w:val="28"/>
        </w:rPr>
      </w:pPr>
    </w:p>
    <w:p w:rsidR="00A812A3" w:rsidRPr="00F438AD" w:rsidRDefault="00A812A3" w:rsidP="00355B88">
      <w:pPr>
        <w:rPr>
          <w:sz w:val="28"/>
          <w:szCs w:val="28"/>
        </w:rPr>
      </w:pPr>
      <w:r w:rsidRPr="00F438AD">
        <w:rPr>
          <w:sz w:val="28"/>
          <w:szCs w:val="28"/>
        </w:rPr>
        <w:t>Допущена к защите</w:t>
      </w:r>
    </w:p>
    <w:p w:rsidR="00A812A3" w:rsidRPr="00F438AD" w:rsidRDefault="00A812A3" w:rsidP="00355B88">
      <w:pPr>
        <w:rPr>
          <w:sz w:val="28"/>
          <w:szCs w:val="28"/>
        </w:rPr>
      </w:pPr>
      <w:r w:rsidRPr="00F438AD">
        <w:rPr>
          <w:sz w:val="28"/>
          <w:szCs w:val="28"/>
        </w:rPr>
        <w:t>«___» ____________ 2017 г.</w:t>
      </w:r>
    </w:p>
    <w:p w:rsidR="00A812A3" w:rsidRPr="00F438AD" w:rsidRDefault="00A812A3" w:rsidP="00355B88">
      <w:pPr>
        <w:rPr>
          <w:sz w:val="28"/>
          <w:szCs w:val="28"/>
        </w:rPr>
      </w:pPr>
      <w:r w:rsidRPr="00F438AD">
        <w:rPr>
          <w:sz w:val="28"/>
          <w:szCs w:val="28"/>
        </w:rPr>
        <w:t>Зав. кафедрой корпоративных финансов</w:t>
      </w:r>
    </w:p>
    <w:p w:rsidR="00A812A3" w:rsidRPr="00F438AD" w:rsidRDefault="00A812A3" w:rsidP="00355B88">
      <w:pPr>
        <w:rPr>
          <w:sz w:val="28"/>
          <w:szCs w:val="28"/>
        </w:rPr>
      </w:pPr>
      <w:r w:rsidRPr="00F438AD">
        <w:rPr>
          <w:sz w:val="28"/>
          <w:szCs w:val="28"/>
        </w:rPr>
        <w:t xml:space="preserve">_________________ </w:t>
      </w:r>
      <w:proofErr w:type="spellStart"/>
      <w:r w:rsidRPr="00F438AD">
        <w:rPr>
          <w:sz w:val="28"/>
          <w:szCs w:val="28"/>
        </w:rPr>
        <w:t>В.И.Тарасов</w:t>
      </w:r>
      <w:proofErr w:type="spellEnd"/>
    </w:p>
    <w:p w:rsidR="00A812A3" w:rsidRPr="00F438AD" w:rsidRDefault="00A812A3" w:rsidP="00355B88">
      <w:pPr>
        <w:rPr>
          <w:sz w:val="28"/>
          <w:szCs w:val="28"/>
        </w:rPr>
      </w:pPr>
      <w:r w:rsidRPr="00F438AD">
        <w:rPr>
          <w:sz w:val="28"/>
          <w:szCs w:val="28"/>
        </w:rPr>
        <w:t>доктор экономических наук, профессор</w:t>
      </w:r>
    </w:p>
    <w:p w:rsidR="00A812A3" w:rsidRPr="00F438AD" w:rsidRDefault="00A812A3" w:rsidP="00A812A3">
      <w:pPr>
        <w:tabs>
          <w:tab w:val="left" w:pos="0"/>
          <w:tab w:val="left" w:pos="851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A812A3" w:rsidRPr="00F438AD" w:rsidRDefault="00A812A3" w:rsidP="00A812A3">
      <w:pPr>
        <w:tabs>
          <w:tab w:val="left" w:pos="0"/>
          <w:tab w:val="left" w:pos="851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A812A3" w:rsidRPr="00F438AD" w:rsidRDefault="00A812A3" w:rsidP="00A812A3">
      <w:pPr>
        <w:tabs>
          <w:tab w:val="left" w:pos="0"/>
          <w:tab w:val="left" w:pos="851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CF3BB6" w:rsidRPr="00F438AD" w:rsidRDefault="00A812A3" w:rsidP="00A812A3">
      <w:pPr>
        <w:tabs>
          <w:tab w:val="left" w:pos="0"/>
          <w:tab w:val="left" w:pos="851"/>
          <w:tab w:val="left" w:pos="993"/>
          <w:tab w:val="left" w:pos="1134"/>
        </w:tabs>
        <w:jc w:val="center"/>
        <w:rPr>
          <w:sz w:val="28"/>
          <w:szCs w:val="28"/>
        </w:rPr>
      </w:pPr>
      <w:r w:rsidRPr="00F438AD">
        <w:rPr>
          <w:sz w:val="28"/>
          <w:szCs w:val="28"/>
        </w:rPr>
        <w:t>Минск, 2017</w:t>
      </w:r>
    </w:p>
    <w:p w:rsidR="00CF3BB6" w:rsidRPr="00F438AD" w:rsidRDefault="00CF3BB6">
      <w:pPr>
        <w:spacing w:after="160" w:line="259" w:lineRule="auto"/>
        <w:rPr>
          <w:sz w:val="28"/>
          <w:szCs w:val="28"/>
        </w:rPr>
      </w:pPr>
      <w:r w:rsidRPr="00F438AD">
        <w:rPr>
          <w:sz w:val="28"/>
          <w:szCs w:val="28"/>
        </w:rPr>
        <w:br w:type="page"/>
      </w:r>
    </w:p>
    <w:p w:rsidR="00CF3BB6" w:rsidRPr="00F438AD" w:rsidRDefault="00CF3BB6" w:rsidP="00CF3BB6">
      <w:pPr>
        <w:keepNext/>
        <w:spacing w:after="60" w:line="360" w:lineRule="auto"/>
        <w:jc w:val="center"/>
        <w:outlineLvl w:val="0"/>
        <w:rPr>
          <w:b/>
          <w:bCs/>
          <w:kern w:val="32"/>
          <w:sz w:val="28"/>
          <w:szCs w:val="28"/>
        </w:rPr>
      </w:pPr>
      <w:r w:rsidRPr="00F438AD">
        <w:rPr>
          <w:b/>
          <w:bCs/>
          <w:kern w:val="32"/>
          <w:sz w:val="28"/>
          <w:szCs w:val="28"/>
        </w:rPr>
        <w:lastRenderedPageBreak/>
        <w:t>ОБЩАЯ ХАРАКТЕРИСТИКА РАБОТЫ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Ключевые слова: </w:t>
      </w:r>
      <w:r w:rsidRPr="00F438AD">
        <w:rPr>
          <w:rFonts w:eastAsia="Calibri"/>
          <w:sz w:val="28"/>
          <w:szCs w:val="28"/>
          <w:lang w:eastAsia="x-none"/>
        </w:rPr>
        <w:t>ТРАНСФЕРТНОЕ ЦЕНООБРАЗОВАНИЕ, ТАНСФЕРТНАЯ ЦЕНА, УПРАВЛЕНЧЕСКИЙ УЧЕТ, КАЗНАЧЕЙСТВО, ФОНДИРОВАНИЕ, ЛИКВИДНОСТЬ, ВАЛЮТНЫЙ РИСК, ПРОЦЕНТНЫЙ РИСК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>Цель работы заключается в анализе методов и моделей системы трансфертного ценообразования и разработке направлений совершенствования данной системы в коммерческом банке. Недостаточная теоретическая и методическая разработанность данного вопроса обуславливает актуальность выбранной темы диссертационного исследования.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Объектом исследования является система трансфертного ценообразования в ЗАО «Альфа-Банк». 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>Предмет исследования – совокупность теоретических и методологических аспектов организации трансфертного ценообразования в коммерческих банках.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В процессе работы были получены следующие результаты:  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>1. Описаны методы и модели трансфертного ценообразования в коммерческом банке.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2. Проанализирована практика применения трансфертных ставок в ЗАО «Альфа-Банк». 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>3. Предложены рекомендации по совершенствованию системы трансфертного ценообразования в управленческом учете банка.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>Научная новизна магистерской работы заключается в описании практических аспектов реализации коммерческим банком системы трансфертного ценообразования, фактически отсутствующих отечественных исследований на выбранную тему.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>Структура магистерской диссертации представлена тремя главами. В первой главе раскрывается сущность трансфертного ценообразования, определено его место в системе управленческого учета коммерческого банка. Во второй главе был проведен анализ применяемых методов и моделей трансфертного ценообразования. В заключительной третей главе была изучена организация системы трансфертного ценообразования в отечественном банке и предложены рекомендации по совершенствованию данной системы.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>Полный объем работы составляет 80 с. Работа содержит 10 рисунков, 11 таблиц, 47 источников, 2 приложения.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>Автор работы подтверждает, что работа выполнена самостоятельно и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положения и концепции сопровождаются ссылками на их авторов.</w:t>
      </w:r>
    </w:p>
    <w:p w:rsidR="00CF3BB6" w:rsidRPr="00F438AD" w:rsidRDefault="00CF3BB6" w:rsidP="00CF3BB6">
      <w:pPr>
        <w:ind w:firstLine="709"/>
        <w:jc w:val="center"/>
        <w:rPr>
          <w:rFonts w:eastAsia="Calibri"/>
          <w:sz w:val="28"/>
          <w:szCs w:val="28"/>
          <w:highlight w:val="yellow"/>
          <w:lang w:val="x-none" w:eastAsia="x-none"/>
        </w:rPr>
      </w:pPr>
    </w:p>
    <w:p w:rsidR="00CF3BB6" w:rsidRPr="00F438AD" w:rsidRDefault="00CF3BB6" w:rsidP="00CF3BB6">
      <w:pPr>
        <w:ind w:firstLine="709"/>
        <w:jc w:val="right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>______________________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                                                                           </w:t>
      </w:r>
      <w:r w:rsidRPr="00F438AD">
        <w:rPr>
          <w:rFonts w:eastAsia="Calibri"/>
          <w:sz w:val="28"/>
          <w:szCs w:val="28"/>
          <w:lang w:eastAsia="x-none"/>
        </w:rPr>
        <w:t xml:space="preserve">                     </w:t>
      </w:r>
      <w:r w:rsidRPr="00F438AD">
        <w:rPr>
          <w:rFonts w:eastAsia="Calibri"/>
          <w:sz w:val="28"/>
          <w:szCs w:val="28"/>
          <w:lang w:val="x-none" w:eastAsia="x-none"/>
        </w:rPr>
        <w:t xml:space="preserve">  (подпись)</w:t>
      </w:r>
    </w:p>
    <w:p w:rsidR="00CF3BB6" w:rsidRPr="00F438AD" w:rsidRDefault="00CF3BB6" w:rsidP="00CF3BB6">
      <w:pPr>
        <w:keepNext/>
        <w:spacing w:after="60" w:line="360" w:lineRule="auto"/>
        <w:jc w:val="center"/>
        <w:outlineLvl w:val="0"/>
        <w:rPr>
          <w:b/>
          <w:bCs/>
          <w:kern w:val="32"/>
          <w:sz w:val="28"/>
          <w:szCs w:val="28"/>
        </w:rPr>
      </w:pPr>
      <w:r w:rsidRPr="00F438AD">
        <w:rPr>
          <w:b/>
          <w:bCs/>
          <w:kern w:val="32"/>
          <w:sz w:val="28"/>
          <w:szCs w:val="28"/>
        </w:rPr>
        <w:lastRenderedPageBreak/>
        <w:t>АГУЛЬНАЯ ХАРАКТАРЫСТЫКА РАБОТЫ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Ключавыя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словы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: ТРАНСФЕРТНАЯ ЦЭНАЎТВАРЭННЕ, ТАНСФЕРТНАЯ ЦАНА, КІРАЎНІЧЫ ЎЛІК, КАЗНАЧЭЙСТВА, ФАНДАВАННЯ, ЛІКВІДНАСЦЬ, ВАЛЮТНЫ РЫЗЫКА, ПРАЦЭНТНЫ РЫЗЫКА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Мэтай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работы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з’яўляецца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аналіз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метадаў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мадэляў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сістэмы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трансфертнага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цэнаўтварэння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распрацоўка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мер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напрамкаў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удасканалення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дадзенай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сістэмы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ў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камерцыйным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банку.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Недастатковая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тэарэтычная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метадычная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распрацаванасць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дадзенага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пытання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абумоўлівае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актуальнасць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выбранай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тэмы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дысертацыйнага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даследавання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Аб’ект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даследавання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–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сістэма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трансфертнаго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цэнаўтварэння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ў Альфа-Банку. 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Прадмет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даследавання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–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сукупнасць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тэарэтычных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метадалагічных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аспектаў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арганізацыі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трансфертнага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цэнаўтварэння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ў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камерцыйных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банках.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У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працэсе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работы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былі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атрыманы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наступныя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вынікі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:  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1.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Апісаны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метады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мадэлі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трансфертнага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цэнаўтварэння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ў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камерцыйным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банку.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2.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Прааналізавана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практыка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прымянення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трансфертных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ставак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у Альфа-Банку.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3.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Прапанаваны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рэкамендацыі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па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ўдасканаленні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сістэмы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трансфертнага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цэнаўтварэння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ў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кіраўнічым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ўліку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банка.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Навуковая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навізна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атрыманых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вынікаў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заключаецца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ў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апісанні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практычных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аспектаў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рэалізацыі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камерцыйным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банкам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сістэмы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трансфертнага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цэнаўтварэння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фактычна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адсутныя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айчынныя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даследаванні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на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выбраную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тэму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Структура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магістарскай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дысертацыі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прадстаўлена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трыма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раздзеламі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. У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першым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раздзеле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раскрываецца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сутнасць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трансфертнаго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цэнаўтварэння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вызначана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яго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месца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ў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сістэме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кіраўніцкага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ўліку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камерцыйнага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банка. У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другім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раздзеле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быў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праведзены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аналіз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метадаў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мадэляў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трансфертная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цэнаўтварэння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. У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заключным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раздзеле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была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вывучана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арганізацыя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сістэмы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трансфертнага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цэнаўтварэння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ў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айчынным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банку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прапанаваны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рэкамендацыі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па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ўдасканаленні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гэтай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сістэмы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Поўны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аб'ём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працы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складае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80 с. Работа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змяшчае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: 10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малюнкаў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11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табліц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47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крыніц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2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прыкладання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Аўтар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працы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зацвярджае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што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праца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выканана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самастойна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прыведзены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ў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ёй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разлікова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–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аналітычны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матэрыял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правільна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аб'ектыўна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адлюстроўвае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стан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доследнага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працэсу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а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ўсе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запазычаныя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з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літаратурных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іншых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крыніц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тэарэтычныя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метадалагічныя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палажэнні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і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канцэпцыі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суправаджаюцца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спасылкамі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на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іх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аўтараў</w:t>
      </w:r>
      <w:proofErr w:type="spellEnd"/>
      <w:r w:rsidRPr="00F438AD">
        <w:rPr>
          <w:rFonts w:eastAsia="Calibri"/>
          <w:sz w:val="28"/>
          <w:szCs w:val="28"/>
          <w:lang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eastAsia="x-none"/>
        </w:rPr>
      </w:pPr>
    </w:p>
    <w:p w:rsidR="00CF3BB6" w:rsidRPr="00F438AD" w:rsidRDefault="00CF3BB6" w:rsidP="00CF3BB6">
      <w:pPr>
        <w:pStyle w:val="a8"/>
        <w:ind w:firstLine="709"/>
        <w:jc w:val="right"/>
        <w:rPr>
          <w:rFonts w:ascii="Times New Roman" w:hAnsi="Times New Roman" w:cs="Times New Roman"/>
          <w:szCs w:val="28"/>
          <w:lang w:val="en-US"/>
        </w:rPr>
      </w:pPr>
      <w:r w:rsidRPr="00F438AD">
        <w:rPr>
          <w:rFonts w:ascii="Times New Roman" w:hAnsi="Times New Roman" w:cs="Times New Roman"/>
          <w:szCs w:val="28"/>
          <w:lang w:val="en-US"/>
        </w:rPr>
        <w:t>______________________</w:t>
      </w:r>
    </w:p>
    <w:p w:rsidR="00CF3BB6" w:rsidRPr="00F438AD" w:rsidRDefault="00CF3BB6" w:rsidP="00CF3BB6">
      <w:pPr>
        <w:pStyle w:val="a8"/>
        <w:ind w:firstLine="709"/>
        <w:rPr>
          <w:rFonts w:ascii="Times New Roman" w:hAnsi="Times New Roman" w:cs="Times New Roman"/>
          <w:szCs w:val="28"/>
          <w:lang w:val="en-US"/>
        </w:rPr>
      </w:pPr>
      <w:r w:rsidRPr="00F438AD">
        <w:rPr>
          <w:rFonts w:ascii="Times New Roman" w:hAnsi="Times New Roman" w:cs="Times New Roman"/>
          <w:szCs w:val="28"/>
          <w:lang w:val="en-US"/>
        </w:rPr>
        <w:t xml:space="preserve">                                                                                                  (</w:t>
      </w:r>
      <w:proofErr w:type="spellStart"/>
      <w:proofErr w:type="gramStart"/>
      <w:r w:rsidRPr="00F438AD">
        <w:rPr>
          <w:rFonts w:ascii="Times New Roman" w:hAnsi="Times New Roman" w:cs="Times New Roman"/>
          <w:szCs w:val="28"/>
        </w:rPr>
        <w:t>подп</w:t>
      </w:r>
      <w:proofErr w:type="spellEnd"/>
      <w:r w:rsidRPr="00F438AD">
        <w:rPr>
          <w:rFonts w:ascii="Times New Roman" w:hAnsi="Times New Roman" w:cs="Times New Roman"/>
          <w:szCs w:val="28"/>
          <w:lang w:val="be-BY"/>
        </w:rPr>
        <w:t>іс</w:t>
      </w:r>
      <w:proofErr w:type="gramEnd"/>
      <w:r w:rsidRPr="00F438AD">
        <w:rPr>
          <w:rFonts w:ascii="Times New Roman" w:hAnsi="Times New Roman" w:cs="Times New Roman"/>
          <w:szCs w:val="28"/>
          <w:lang w:val="en-US"/>
        </w:rPr>
        <w:t>)</w:t>
      </w:r>
    </w:p>
    <w:p w:rsidR="00CF3BB6" w:rsidRPr="00F438AD" w:rsidRDefault="00CF3BB6" w:rsidP="00CF3BB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F3BB6" w:rsidRPr="00F438AD" w:rsidRDefault="00CF3BB6" w:rsidP="00CF3BB6">
      <w:pPr>
        <w:keepNext/>
        <w:spacing w:after="60" w:line="360" w:lineRule="auto"/>
        <w:jc w:val="center"/>
        <w:outlineLvl w:val="0"/>
        <w:rPr>
          <w:b/>
          <w:bCs/>
          <w:kern w:val="32"/>
          <w:sz w:val="28"/>
          <w:szCs w:val="28"/>
          <w:lang w:val="en-US"/>
        </w:rPr>
      </w:pPr>
      <w:r w:rsidRPr="00F438AD">
        <w:rPr>
          <w:b/>
          <w:bCs/>
          <w:kern w:val="32"/>
          <w:sz w:val="28"/>
          <w:szCs w:val="28"/>
          <w:lang w:val="en-US"/>
        </w:rPr>
        <w:lastRenderedPageBreak/>
        <w:t>GENERAL DESCRIPTION OF WORK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Keywords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: FUNDS TRANSFER PRICING, TRANSFER PRICE, MANAGERIAL ACCOUNTING, TREASURY, FUNDING, LIQUIDITY, CURRENCY RISK, INTEREST RATE RISK.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Purpose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research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analysis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methods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models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transfer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pricing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development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directions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improve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system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a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commercial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bank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.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Insufficient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developed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theoretical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methodological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relevance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this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issue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leads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to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chosen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theme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research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object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a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research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a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transfer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pricing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Alfa-Bank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. 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subject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research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a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set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theoretical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methodological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aspects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organization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transfer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pricing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commercial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banks</w:t>
      </w:r>
      <w:proofErr w:type="spellEnd"/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process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following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results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were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obtained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: 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1.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description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methods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models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transfer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pricing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a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commercial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bank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2.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analysis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practice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application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transfer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price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Alfa-Bank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F438AD">
        <w:rPr>
          <w:rFonts w:eastAsia="Calibri"/>
          <w:sz w:val="28"/>
          <w:szCs w:val="28"/>
          <w:lang w:val="x-none" w:eastAsia="x-none"/>
        </w:rPr>
        <w:t xml:space="preserve">3.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recommendations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for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improving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transfer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pricing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a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managerial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accounting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bank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Scientific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novelty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master's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work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describe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practical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aspects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implementation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transfer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pricing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commercial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bank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absence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domestic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research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a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chosen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theme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structure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Master's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thesis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consists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three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chapters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.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first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chapter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reveals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essence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transfer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pricing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determined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by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its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place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system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administrative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account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commercial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bank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.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second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chapter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we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analyzed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methods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transfer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pricing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models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.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final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third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chapter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has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studied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organization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transfer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pricing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system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domestic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bank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offered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recommendations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for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improving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system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Thesis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consists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: 80 p., 10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pict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11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tables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47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lit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2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appl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jc w:val="both"/>
        <w:rPr>
          <w:rFonts w:eastAsia="Calibri"/>
          <w:sz w:val="28"/>
          <w:szCs w:val="28"/>
          <w:lang w:val="x-none" w:eastAsia="x-none"/>
        </w:rPr>
      </w:pP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author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confirms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that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work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done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independently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resulted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it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calculated-analytical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material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correctly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objectively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reflects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state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process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under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investigation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all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borrowed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from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literature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other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sources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of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theoretical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,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methodological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principles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and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concepts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accompanied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by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references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to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their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 xml:space="preserve"> </w:t>
      </w:r>
      <w:proofErr w:type="spellStart"/>
      <w:r w:rsidRPr="00F438AD">
        <w:rPr>
          <w:rFonts w:eastAsia="Calibri"/>
          <w:sz w:val="28"/>
          <w:szCs w:val="28"/>
          <w:lang w:val="x-none" w:eastAsia="x-none"/>
        </w:rPr>
        <w:t>authors</w:t>
      </w:r>
      <w:proofErr w:type="spellEnd"/>
      <w:r w:rsidRPr="00F438AD">
        <w:rPr>
          <w:rFonts w:eastAsia="Calibri"/>
          <w:sz w:val="28"/>
          <w:szCs w:val="28"/>
          <w:lang w:val="x-none" w:eastAsia="x-none"/>
        </w:rPr>
        <w:t>.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</w:p>
    <w:p w:rsidR="00CF3BB6" w:rsidRPr="00F438AD" w:rsidRDefault="00CF3BB6" w:rsidP="00CF3BB6">
      <w:pPr>
        <w:pStyle w:val="a8"/>
        <w:ind w:firstLine="709"/>
        <w:jc w:val="right"/>
        <w:rPr>
          <w:rFonts w:ascii="Times New Roman" w:hAnsi="Times New Roman" w:cs="Times New Roman"/>
          <w:szCs w:val="28"/>
        </w:rPr>
      </w:pPr>
      <w:r w:rsidRPr="00F438AD">
        <w:rPr>
          <w:rFonts w:ascii="Times New Roman" w:hAnsi="Times New Roman" w:cs="Times New Roman"/>
          <w:szCs w:val="28"/>
        </w:rPr>
        <w:t>______________________</w:t>
      </w:r>
    </w:p>
    <w:p w:rsidR="00CF3BB6" w:rsidRPr="00F438AD" w:rsidRDefault="00CF3BB6" w:rsidP="00CF3BB6">
      <w:pPr>
        <w:pStyle w:val="a8"/>
        <w:ind w:firstLine="709"/>
        <w:rPr>
          <w:rFonts w:ascii="Times New Roman" w:hAnsi="Times New Roman" w:cs="Times New Roman"/>
          <w:szCs w:val="28"/>
        </w:rPr>
      </w:pPr>
      <w:r w:rsidRPr="00F438AD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(</w:t>
      </w:r>
      <w:r w:rsidRPr="00F438AD">
        <w:rPr>
          <w:rFonts w:ascii="Times New Roman" w:hAnsi="Times New Roman" w:cs="Times New Roman"/>
          <w:szCs w:val="28"/>
          <w:lang w:val="en-US"/>
        </w:rPr>
        <w:t>signature</w:t>
      </w:r>
      <w:r w:rsidRPr="00F438AD">
        <w:rPr>
          <w:rFonts w:ascii="Times New Roman" w:hAnsi="Times New Roman" w:cs="Times New Roman"/>
          <w:szCs w:val="28"/>
        </w:rPr>
        <w:t>)</w:t>
      </w:r>
    </w:p>
    <w:p w:rsidR="00CF3BB6" w:rsidRPr="00F438AD" w:rsidRDefault="00CF3BB6" w:rsidP="00CF3BB6">
      <w:pPr>
        <w:ind w:firstLine="709"/>
        <w:jc w:val="both"/>
        <w:rPr>
          <w:rFonts w:eastAsia="Calibri"/>
          <w:sz w:val="28"/>
          <w:szCs w:val="28"/>
          <w:lang w:val="x-none" w:eastAsia="x-none"/>
        </w:rPr>
      </w:pPr>
    </w:p>
    <w:p w:rsidR="00CF3BB6" w:rsidRDefault="00CF3BB6">
      <w:pPr>
        <w:spacing w:after="160" w:line="259" w:lineRule="auto"/>
        <w:rPr>
          <w:b/>
          <w:bCs/>
          <w:kern w:val="32"/>
          <w:sz w:val="28"/>
          <w:szCs w:val="28"/>
        </w:rPr>
      </w:pPr>
    </w:p>
    <w:p w:rsidR="00237B38" w:rsidRPr="000B599F" w:rsidRDefault="00237B38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237B38" w:rsidRPr="000B599F" w:rsidSect="00B51912">
      <w:foot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26" w:rsidRDefault="00730F26" w:rsidP="00A812A3">
      <w:r>
        <w:separator/>
      </w:r>
    </w:p>
  </w:endnote>
  <w:endnote w:type="continuationSeparator" w:id="0">
    <w:p w:rsidR="00730F26" w:rsidRDefault="00730F26" w:rsidP="00A8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009214912"/>
      <w:docPartObj>
        <w:docPartGallery w:val="Page Numbers (Bottom of Page)"/>
        <w:docPartUnique/>
      </w:docPartObj>
    </w:sdtPr>
    <w:sdtEndPr/>
    <w:sdtContent>
      <w:p w:rsidR="00405E92" w:rsidRPr="00B51912" w:rsidRDefault="00405E92" w:rsidP="00B51912">
        <w:pPr>
          <w:pStyle w:val="a5"/>
          <w:jc w:val="right"/>
          <w:rPr>
            <w:sz w:val="20"/>
          </w:rPr>
        </w:pPr>
        <w:r w:rsidRPr="00B51912">
          <w:rPr>
            <w:sz w:val="20"/>
          </w:rPr>
          <w:fldChar w:fldCharType="begin"/>
        </w:r>
        <w:r w:rsidRPr="00B51912">
          <w:rPr>
            <w:sz w:val="20"/>
          </w:rPr>
          <w:instrText>PAGE   \* MERGEFORMAT</w:instrText>
        </w:r>
        <w:r w:rsidRPr="00B51912">
          <w:rPr>
            <w:sz w:val="20"/>
          </w:rPr>
          <w:fldChar w:fldCharType="separate"/>
        </w:r>
        <w:r w:rsidR="00237B38">
          <w:rPr>
            <w:noProof/>
            <w:sz w:val="20"/>
          </w:rPr>
          <w:t>2</w:t>
        </w:r>
        <w:r w:rsidRPr="00B5191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26" w:rsidRDefault="00730F26" w:rsidP="00A812A3">
      <w:r>
        <w:separator/>
      </w:r>
    </w:p>
  </w:footnote>
  <w:footnote w:type="continuationSeparator" w:id="0">
    <w:p w:rsidR="00730F26" w:rsidRDefault="00730F26" w:rsidP="00A8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92D"/>
    <w:multiLevelType w:val="hybridMultilevel"/>
    <w:tmpl w:val="A96E6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1502B"/>
    <w:multiLevelType w:val="hybridMultilevel"/>
    <w:tmpl w:val="B18CCD76"/>
    <w:lvl w:ilvl="0" w:tplc="C3D20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5A5D22"/>
    <w:multiLevelType w:val="multilevel"/>
    <w:tmpl w:val="6A18A8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B264F38"/>
    <w:multiLevelType w:val="hybridMultilevel"/>
    <w:tmpl w:val="A1DCF09A"/>
    <w:lvl w:ilvl="0" w:tplc="C3D201CA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">
    <w:nsid w:val="0BF02206"/>
    <w:multiLevelType w:val="multilevel"/>
    <w:tmpl w:val="E5FED2C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D1D48"/>
    <w:multiLevelType w:val="hybridMultilevel"/>
    <w:tmpl w:val="EC004A24"/>
    <w:lvl w:ilvl="0" w:tplc="C3D20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E272C9"/>
    <w:multiLevelType w:val="hybridMultilevel"/>
    <w:tmpl w:val="A1A0F926"/>
    <w:lvl w:ilvl="0" w:tplc="C3D20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F97873"/>
    <w:multiLevelType w:val="hybridMultilevel"/>
    <w:tmpl w:val="4D726C5A"/>
    <w:lvl w:ilvl="0" w:tplc="C3D20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0022F8"/>
    <w:multiLevelType w:val="hybridMultilevel"/>
    <w:tmpl w:val="6F0EF580"/>
    <w:lvl w:ilvl="0" w:tplc="C3D201C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0974AC"/>
    <w:multiLevelType w:val="hybridMultilevel"/>
    <w:tmpl w:val="6FB4A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3ABF"/>
    <w:multiLevelType w:val="hybridMultilevel"/>
    <w:tmpl w:val="D108B3AC"/>
    <w:lvl w:ilvl="0" w:tplc="C3D20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1120BA"/>
    <w:multiLevelType w:val="hybridMultilevel"/>
    <w:tmpl w:val="88602F88"/>
    <w:lvl w:ilvl="0" w:tplc="C3D201CA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2">
    <w:nsid w:val="406A7108"/>
    <w:multiLevelType w:val="hybridMultilevel"/>
    <w:tmpl w:val="0DC8138E"/>
    <w:lvl w:ilvl="0" w:tplc="C3D20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775837"/>
    <w:multiLevelType w:val="hybridMultilevel"/>
    <w:tmpl w:val="070246BE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>
    <w:nsid w:val="43652FA7"/>
    <w:multiLevelType w:val="hybridMultilevel"/>
    <w:tmpl w:val="902A2682"/>
    <w:lvl w:ilvl="0" w:tplc="C3D201CA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>
    <w:nsid w:val="4C396698"/>
    <w:multiLevelType w:val="hybridMultilevel"/>
    <w:tmpl w:val="6582ADF2"/>
    <w:lvl w:ilvl="0" w:tplc="C3D201CA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6">
    <w:nsid w:val="4FA06613"/>
    <w:multiLevelType w:val="multilevel"/>
    <w:tmpl w:val="728A73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3349EA"/>
    <w:multiLevelType w:val="hybridMultilevel"/>
    <w:tmpl w:val="A3DEE44A"/>
    <w:lvl w:ilvl="0" w:tplc="C3D20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7E40F0"/>
    <w:multiLevelType w:val="hybridMultilevel"/>
    <w:tmpl w:val="10D6324A"/>
    <w:lvl w:ilvl="0" w:tplc="C3D20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0A3EAB"/>
    <w:multiLevelType w:val="hybridMultilevel"/>
    <w:tmpl w:val="BFEC4770"/>
    <w:lvl w:ilvl="0" w:tplc="C3D201C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7A263C"/>
    <w:multiLevelType w:val="hybridMultilevel"/>
    <w:tmpl w:val="1B98E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04F61AD"/>
    <w:multiLevelType w:val="hybridMultilevel"/>
    <w:tmpl w:val="0ACEFDBC"/>
    <w:lvl w:ilvl="0" w:tplc="C3D20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6B1A83"/>
    <w:multiLevelType w:val="hybridMultilevel"/>
    <w:tmpl w:val="FE409F22"/>
    <w:lvl w:ilvl="0" w:tplc="D61EF79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96853A3"/>
    <w:multiLevelType w:val="hybridMultilevel"/>
    <w:tmpl w:val="DEB69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F30B88"/>
    <w:multiLevelType w:val="hybridMultilevel"/>
    <w:tmpl w:val="3E8A9476"/>
    <w:lvl w:ilvl="0" w:tplc="C3D201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404623"/>
    <w:multiLevelType w:val="hybridMultilevel"/>
    <w:tmpl w:val="FC94514E"/>
    <w:lvl w:ilvl="0" w:tplc="0419000F">
      <w:start w:val="1"/>
      <w:numFmt w:val="decimal"/>
      <w:lvlText w:val="%1."/>
      <w:lvlJc w:val="left"/>
      <w:pPr>
        <w:ind w:left="107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85428"/>
    <w:multiLevelType w:val="hybridMultilevel"/>
    <w:tmpl w:val="A0CC6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23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0"/>
  </w:num>
  <w:num w:numId="10">
    <w:abstractNumId w:val="8"/>
  </w:num>
  <w:num w:numId="11">
    <w:abstractNumId w:val="22"/>
  </w:num>
  <w:num w:numId="12">
    <w:abstractNumId w:val="24"/>
  </w:num>
  <w:num w:numId="13">
    <w:abstractNumId w:val="7"/>
  </w:num>
  <w:num w:numId="14">
    <w:abstractNumId w:val="26"/>
  </w:num>
  <w:num w:numId="15">
    <w:abstractNumId w:val="18"/>
  </w:num>
  <w:num w:numId="16">
    <w:abstractNumId w:val="6"/>
  </w:num>
  <w:num w:numId="17">
    <w:abstractNumId w:val="9"/>
  </w:num>
  <w:num w:numId="18">
    <w:abstractNumId w:val="12"/>
  </w:num>
  <w:num w:numId="19">
    <w:abstractNumId w:val="20"/>
  </w:num>
  <w:num w:numId="20">
    <w:abstractNumId w:val="14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5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A3"/>
    <w:rsid w:val="00017997"/>
    <w:rsid w:val="00043061"/>
    <w:rsid w:val="000B599F"/>
    <w:rsid w:val="000D6B7F"/>
    <w:rsid w:val="00102CB3"/>
    <w:rsid w:val="001644C4"/>
    <w:rsid w:val="0019345A"/>
    <w:rsid w:val="00196010"/>
    <w:rsid w:val="001C4B7B"/>
    <w:rsid w:val="001E6002"/>
    <w:rsid w:val="001F28F4"/>
    <w:rsid w:val="00237B38"/>
    <w:rsid w:val="002E5853"/>
    <w:rsid w:val="003063F4"/>
    <w:rsid w:val="00355B88"/>
    <w:rsid w:val="00374F89"/>
    <w:rsid w:val="003A6AA3"/>
    <w:rsid w:val="003B4AA3"/>
    <w:rsid w:val="00405E92"/>
    <w:rsid w:val="0040618B"/>
    <w:rsid w:val="00462C5C"/>
    <w:rsid w:val="004D4AB4"/>
    <w:rsid w:val="004F72B9"/>
    <w:rsid w:val="005923A6"/>
    <w:rsid w:val="00596356"/>
    <w:rsid w:val="005A675D"/>
    <w:rsid w:val="005D1364"/>
    <w:rsid w:val="0062422C"/>
    <w:rsid w:val="00680D71"/>
    <w:rsid w:val="0069178D"/>
    <w:rsid w:val="00730F26"/>
    <w:rsid w:val="007756D9"/>
    <w:rsid w:val="00787425"/>
    <w:rsid w:val="007A71F4"/>
    <w:rsid w:val="007B525C"/>
    <w:rsid w:val="00877D9D"/>
    <w:rsid w:val="00895F14"/>
    <w:rsid w:val="00897D14"/>
    <w:rsid w:val="00935778"/>
    <w:rsid w:val="0093779E"/>
    <w:rsid w:val="00953D4D"/>
    <w:rsid w:val="00971A53"/>
    <w:rsid w:val="009B21C0"/>
    <w:rsid w:val="00A812A3"/>
    <w:rsid w:val="00AE55B7"/>
    <w:rsid w:val="00AF6B90"/>
    <w:rsid w:val="00B015EC"/>
    <w:rsid w:val="00B51912"/>
    <w:rsid w:val="00B756A3"/>
    <w:rsid w:val="00C075B3"/>
    <w:rsid w:val="00CA0419"/>
    <w:rsid w:val="00CA2C63"/>
    <w:rsid w:val="00CE5BF5"/>
    <w:rsid w:val="00CF3BB6"/>
    <w:rsid w:val="00DF6792"/>
    <w:rsid w:val="00E81242"/>
    <w:rsid w:val="00EC1B96"/>
    <w:rsid w:val="00ED1797"/>
    <w:rsid w:val="00F438AD"/>
    <w:rsid w:val="00F5753A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1C3F9-4686-4689-8C88-DF87CF15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3B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2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12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F3BB6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3BB6"/>
    <w:pPr>
      <w:widowControl w:val="0"/>
      <w:shd w:val="clear" w:color="auto" w:fill="FFFFFF"/>
      <w:spacing w:before="300" w:line="254" w:lineRule="exact"/>
      <w:jc w:val="both"/>
    </w:pPr>
    <w:rPr>
      <w:rFonts w:ascii="Tahoma" w:eastAsia="Tahoma" w:hAnsi="Tahoma" w:cs="Tahoma"/>
      <w:sz w:val="15"/>
      <w:szCs w:val="15"/>
      <w:lang w:eastAsia="en-US"/>
    </w:rPr>
  </w:style>
  <w:style w:type="character" w:customStyle="1" w:styleId="a7">
    <w:name w:val="А_текст Знак"/>
    <w:link w:val="a8"/>
    <w:locked/>
    <w:rsid w:val="00CF3BB6"/>
    <w:rPr>
      <w:rFonts w:eastAsia="Calibri"/>
      <w:sz w:val="28"/>
    </w:rPr>
  </w:style>
  <w:style w:type="paragraph" w:customStyle="1" w:styleId="a8">
    <w:name w:val="А_текст"/>
    <w:basedOn w:val="a"/>
    <w:link w:val="a7"/>
    <w:qFormat/>
    <w:rsid w:val="00CF3BB6"/>
    <w:pPr>
      <w:ind w:firstLine="567"/>
      <w:jc w:val="both"/>
    </w:pPr>
    <w:rPr>
      <w:rFonts w:asciiTheme="minorHAnsi" w:eastAsia="Calibri" w:hAnsi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F3B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CF3B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CF3BB6"/>
    <w:pPr>
      <w:shd w:val="clear" w:color="auto" w:fill="FFFFFF"/>
      <w:spacing w:before="192" w:line="360" w:lineRule="auto"/>
      <w:ind w:right="-5" w:firstLine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CF3BB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CF3B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">
    <w:name w:val="Основной текст (4)_"/>
    <w:basedOn w:val="a0"/>
    <w:link w:val="40"/>
    <w:rsid w:val="00CF3BB6"/>
    <w:rPr>
      <w:rFonts w:ascii="Tahoma" w:eastAsia="Tahoma" w:hAnsi="Tahoma" w:cs="Tahoma"/>
      <w:spacing w:val="20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CF3BB6"/>
    <w:rPr>
      <w:rFonts w:ascii="Tahoma" w:eastAsia="Tahoma" w:hAnsi="Tahoma" w:cs="Tahoma"/>
      <w:smallCap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F3BB6"/>
    <w:pPr>
      <w:widowControl w:val="0"/>
      <w:shd w:val="clear" w:color="auto" w:fill="FFFFFF"/>
      <w:spacing w:before="480" w:after="60" w:line="0" w:lineRule="atLeast"/>
    </w:pPr>
    <w:rPr>
      <w:rFonts w:ascii="Tahoma" w:eastAsia="Tahoma" w:hAnsi="Tahoma" w:cs="Tahoma"/>
      <w:spacing w:val="20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CF3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3BB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3B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3B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3BB6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F3BB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3BB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F3BB6"/>
  </w:style>
  <w:style w:type="character" w:styleId="af3">
    <w:name w:val="Hyperlink"/>
    <w:basedOn w:val="a0"/>
    <w:uiPriority w:val="99"/>
    <w:semiHidden/>
    <w:unhideWhenUsed/>
    <w:rsid w:val="00CF3BB6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CF3BB6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CF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1">
    <w:name w:val="hl1"/>
    <w:basedOn w:val="a0"/>
    <w:rsid w:val="00CF3BB6"/>
    <w:rPr>
      <w:color w:val="4682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2D45-CC9D-47B0-B520-B1013D2D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Nastya</cp:lastModifiedBy>
  <cp:revision>28</cp:revision>
  <dcterms:created xsi:type="dcterms:W3CDTF">2017-01-19T20:22:00Z</dcterms:created>
  <dcterms:modified xsi:type="dcterms:W3CDTF">2017-12-04T09:32:00Z</dcterms:modified>
</cp:coreProperties>
</file>