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3E" w:rsidRPr="004C09CF" w:rsidRDefault="00935C3E" w:rsidP="00935C3E">
      <w:pPr>
        <w:pStyle w:val="2"/>
      </w:pPr>
      <w:bookmarkStart w:id="0" w:name="_Toc442863843"/>
      <w:r w:rsidRPr="005F0386">
        <w:t>ЗНАЧЕНИЯ</w:t>
      </w:r>
      <w:r w:rsidRPr="004C09CF">
        <w:t xml:space="preserve"> ТВОРИТЕЛЬНОГО ПАДЕЖА РУССКОГО ЯЗЫКА И СПОСОБЫ ИХ ВЫРАЖЕНИЯ В АРАБСКОМ ЯЗЫКЕ</w:t>
      </w:r>
      <w:bookmarkEnd w:id="0"/>
    </w:p>
    <w:p w:rsidR="00935C3E" w:rsidRPr="004C09CF" w:rsidRDefault="00935C3E" w:rsidP="00935C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35C3E" w:rsidRPr="004C09CF" w:rsidRDefault="00935C3E" w:rsidP="00935C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В. В. Белый </w:t>
      </w:r>
    </w:p>
    <w:p w:rsidR="00935C3E" w:rsidRPr="004C09CF" w:rsidRDefault="00935C3E" w:rsidP="00935C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(Белорусский государственный медицинский университет)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 последние годы значительно расширился контингент иностранных граждан, обучающихся в белорусских высших учебных заведениях. По-прежнему довольно значительную их часть составляют учащиеся из арабских стран, проходящие обучение в вузах на русском языке. Родной язык этих учащихся относится к другой группе языков и имеет значительное отличие от европейских языков, поэтому в процессе преподавания русского языка этой национально-языковой категории учащихся и в целях повышения его эффективности важно проследить общее и отличное в языковых системах русского и арабского языков.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Учет особенностей родного языка учащихся в значительной степени облегчает работу преподавателя-русиста в иностранной аудитории и позволяет предвосхищать вызванные интерференцией ошибки в их речи (см., напр., Белый В.В., Тихоненко Е.В. Вводно-фонетический курс русского языка для арабских студентов.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– Минск: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БГМУ, 2013).</w:t>
      </w:r>
      <w:proofErr w:type="gramEnd"/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В данной статье мы обратимся к рассмотрению значений творительного падежа в русском языке и способам передачи этих значений средствами арабского языка (творительного падежа в нем нет).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Одной из основных функций творительного падежа является выражение значения совместного действия с кем-либо или с чем-либо (с предлогом «с»). В арабском языке для выражения этого значения используется конструкция с предлогом «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ма’а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», поэтому при изучении данного значения творительного падежа у арабских учащихся затруднений обычно не возникает. Однако в связи с тем, что арабский разговорный язык имеет значительные отличия от литературного языка, в нем возможно использование конструкции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«Он был с сестрой»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в значении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«Он был у сестры»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что провоцирует ошибки такого типа в русской речи арабских учащихся. Для предупреждения подобных ошибок преподавателю-русисту следует дополнять такие конструкции обстоятельством места: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«Он был с сестрой в магазине»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. Полезно также обратить внимание учащихся на конструкции типа: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«Мы с сестрой ходили на рынок»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, подчеркнув, что субъектами здесь являются «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я и сестра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». Поскольку в арабском языке в этом значении возможно только использование словосочетания «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я и моя сестра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», словосочетание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«с другом»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будет иметь уже другое значение.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Небольшой группе русских глаголов, управляющих творительным падежом с предлогом «с», в арабском языке соответствуют глаголы с иным управлением: бороться (с кем?) –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нāдала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дыдда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(предлог «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дыдда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 имеет значение «против»).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А конструкция «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ма’а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 плюс родительный падеж существительного, которая также употребляется с глаголом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нāдала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(«бороться»), имеет значение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«вместе с»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«вместе с родителями»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Русскому глаголу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«воевать»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(с кем?) в арабском языке эквивалентен глагол 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х̣āраба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», который управляет винительным падежом и, таким образом, является переходным.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К глаголам, управляющим творительным падежом и имеющим в арабском языке в качестве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эквивалентных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переходные глаголы, относятся все глаголы со значением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«заведовать»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«’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адāра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»),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«руководить», «управлять»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кāда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») и им подобные.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Некоторые русские глаголы, требующие после употребления винительного и творительного падежей, в арабском языке имеют эквиваленты, обладающие двойной переходностью – требуют после себя употребления двух имен в винительном падеже: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«выбирать»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кого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?к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>ем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?) – «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’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интахаба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«награждать»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кого?чем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?) –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манах̣а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»,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«назначать»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кого?кем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?) – «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’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аййана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«кормить»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кого?чем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?) – «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’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ат̣’ама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»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и некоторые другие.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После глаголов двойной переходности за ними обычно следуют в винительном падеже имена существительные одушевленные, а затем – неодушевленные.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>В отдельных случаях русским глаголам, управляющим творительным падежом с предлогами, в арабском языке эквивалентными являются переходные глаголы: «воевать» (с кем?) – 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х̣āраба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», «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наблюдать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 (за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кем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?ч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>ем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?) – 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рāк̣аба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», «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следовать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» (за кем?) – «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’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ак̣аба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», следить (за чем?) – 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татабба’а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», за которыми следуют имена существительные в винительном падеже.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 русском языке творительный падеж употребляется в составном именном сказуемом после глаголов-связок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«быть», «являться», «стать»,  «казаться»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другими. В арабском языке после глаголов-связок имена существительные употребляются в винительном падеже. Отсюда проистекают ошибки учащихся типа: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«Он был врача»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вместо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«Он был врачом»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). Русскому глаголу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«являться»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в арабском языке нет полного соответствия, и вместо него используется глагол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«быть»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 форме настоящего времени (или употребляется конструкция без глагола-связки). Глаголам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«казаться»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«оказаться»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соответствует несколько арабских глаголов с иными оттенками значений. При выражении отрицания в настоящем времени в составном именном сказуемом в арабском языке прибегают к глаголу «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лейса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>» («не является»), за которым следует существительное в винительном падеже. Указанные глаголы не являются переходными, и употребление после них винительного падежа обусловлено синтаксически.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Творительному падежу для передачи значения времени русского языка с предлогом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«перед»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в арабском языке частично соответствуют конструкции с предлогами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к̣абла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» («перед, раньше, до»)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к̣убайли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»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последний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представляет собой уменьшительную форму от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к̣абла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). Второй предлог по своему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значению ближе к русскому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«перед»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, однако полного соответствия русскому предлогу не представляет. И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«до занятия»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, и «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перед занятием»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на арабский язык переводятся как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к̣абла-д-дарс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Для передачи значения чувства, когда в русском языке используется творительный падеж после таких глаголов, как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«восхищаться», «гордиться», «интересоваться»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им подобных, в арабском языке после них используется предлог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би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», 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значение которого можно передать как «наполненный чем-либо»,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«погруженный во что-либо».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Этот предлог может переводиться на русский язык предлогом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«с»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в значении образа действия, поэтому арабские учащиеся могут допускать ошибки типа: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«Она интересуется с медициной», «Он гордится с другом»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им </w:t>
      </w:r>
      <w:proofErr w:type="gramStart"/>
      <w:r w:rsidRPr="004C09CF">
        <w:rPr>
          <w:rFonts w:ascii="Times New Roman" w:eastAsia="Times New Roman" w:hAnsi="Times New Roman" w:cs="Times New Roman"/>
          <w:sz w:val="20"/>
          <w:szCs w:val="20"/>
        </w:rPr>
        <w:t>подобные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С помощью предлога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proofErr w:type="spellStart"/>
      <w:proofErr w:type="gram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би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арабском языке также передается творительный падеж в значении орудия действия: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«Пишу карандашом»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– «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’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актубу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би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 xml:space="preserve"> каламин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», поэтому в русской речи арабский учащихся нередко встречаются ошибки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«Пишу с карандашом»,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«Пользуюсь с компьютером»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и т.п. Тем же предлогом в арабском языке передается и творительный падеж в значении образа действия: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«с восторгом», «с радостью», «с удовольствием».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Для передачи пространственного значения творительного падежа в арабском языке наличествуют адекватные русским предлоги: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«между» – «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байна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», «над» – «фа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  <w:lang w:val="be-BY"/>
        </w:rPr>
        <w:t>ў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к̣а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«под» – «</w:t>
      </w:r>
      <w:proofErr w:type="spellStart"/>
      <w:proofErr w:type="gram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тах̣та</w:t>
      </w:r>
      <w:proofErr w:type="spellEnd"/>
      <w:proofErr w:type="gram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», «перед» – «’</w:t>
      </w:r>
      <w:proofErr w:type="spellStart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амāма</w:t>
      </w:r>
      <w:proofErr w:type="spellEnd"/>
      <w:r w:rsidRPr="004C09CF">
        <w:rPr>
          <w:rFonts w:ascii="Times New Roman" w:eastAsia="Times New Roman" w:hAnsi="Times New Roman" w:cs="Times New Roman"/>
          <w:i/>
          <w:sz w:val="20"/>
          <w:szCs w:val="20"/>
        </w:rPr>
        <w:t>̣»</w:t>
      </w:r>
      <w:r w:rsidRPr="004C09CF">
        <w:rPr>
          <w:rFonts w:ascii="Times New Roman" w:eastAsia="Times New Roman" w:hAnsi="Times New Roman" w:cs="Times New Roman"/>
          <w:sz w:val="20"/>
          <w:szCs w:val="20"/>
        </w:rPr>
        <w:t>. Употребление этих предлогов у арабских учащихся, как правило, затруднений не вызывает.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Учет родного языка учащихся, рациональное использование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лингвоориентированной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методики обеспечивает значительное повышение эффективности преподавания русского языка как иностранного. Сопоставительный анализ языков и анализ типичных ошибок придает процессу обучения ряд преимуществ, способствует положительному переносу и противодействует отрицательному влиянию исходного языка, повышает интерес учащихся к изучаемому языку и </w:t>
      </w:r>
      <w:proofErr w:type="spellStart"/>
      <w:r w:rsidRPr="004C09CF">
        <w:rPr>
          <w:rFonts w:ascii="Times New Roman" w:eastAsia="Times New Roman" w:hAnsi="Times New Roman" w:cs="Times New Roman"/>
          <w:sz w:val="20"/>
          <w:szCs w:val="20"/>
        </w:rPr>
        <w:t>мотивированность</w:t>
      </w:r>
      <w:proofErr w:type="spellEnd"/>
      <w:r w:rsidRPr="004C09CF">
        <w:rPr>
          <w:rFonts w:ascii="Times New Roman" w:eastAsia="Times New Roman" w:hAnsi="Times New Roman" w:cs="Times New Roman"/>
          <w:sz w:val="20"/>
          <w:szCs w:val="20"/>
        </w:rPr>
        <w:t xml:space="preserve"> его изучения.</w:t>
      </w:r>
    </w:p>
    <w:p w:rsidR="00935C3E" w:rsidRPr="004C09CF" w:rsidRDefault="00935C3E" w:rsidP="0093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35C3E" w:rsidRPr="004C09CF" w:rsidRDefault="00935C3E" w:rsidP="00935C3E">
      <w:pPr>
        <w:numPr>
          <w:ilvl w:val="0"/>
          <w:numId w:val="1"/>
        </w:numPr>
        <w:tabs>
          <w:tab w:val="left" w:pos="567"/>
          <w:tab w:val="num" w:pos="1008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Белый В.В., Тихоненко Е.В. Вводно-фонетический курс русского языка для арабских студентов: практикум. – Минск, БГМУ, 2013. – 72 </w:t>
      </w:r>
      <w:proofErr w:type="gramStart"/>
      <w:r w:rsidRPr="004C09CF">
        <w:rPr>
          <w:rFonts w:ascii="Times New Roman" w:eastAsia="Times New Roman" w:hAnsi="Times New Roman" w:cs="Times New Roman"/>
          <w:sz w:val="18"/>
          <w:szCs w:val="20"/>
        </w:rPr>
        <w:t>с</w:t>
      </w:r>
      <w:proofErr w:type="gramEnd"/>
      <w:r w:rsidRPr="004C09CF"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935C3E" w:rsidRPr="004C09CF" w:rsidRDefault="00935C3E" w:rsidP="00935C3E">
      <w:pPr>
        <w:numPr>
          <w:ilvl w:val="0"/>
          <w:numId w:val="1"/>
        </w:numPr>
        <w:tabs>
          <w:tab w:val="left" w:pos="567"/>
          <w:tab w:val="num" w:pos="1008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Берников О.А. Арабская грамматика в таблицах и схемах. – М.: Русский язык, 2008. – 144 </w:t>
      </w:r>
      <w:proofErr w:type="gramStart"/>
      <w:r w:rsidRPr="004C09CF">
        <w:rPr>
          <w:rFonts w:ascii="Times New Roman" w:eastAsia="Times New Roman" w:hAnsi="Times New Roman" w:cs="Times New Roman"/>
          <w:sz w:val="18"/>
          <w:szCs w:val="20"/>
        </w:rPr>
        <w:t>с</w:t>
      </w:r>
      <w:proofErr w:type="gramEnd"/>
      <w:r w:rsidRPr="004C09CF"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935C3E" w:rsidRPr="004C09CF" w:rsidRDefault="00935C3E" w:rsidP="00935C3E">
      <w:pPr>
        <w:numPr>
          <w:ilvl w:val="0"/>
          <w:numId w:val="1"/>
        </w:numPr>
        <w:tabs>
          <w:tab w:val="left" w:pos="567"/>
          <w:tab w:val="num" w:pos="1008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proofErr w:type="spellStart"/>
      <w:r w:rsidRPr="004C09CF">
        <w:rPr>
          <w:rFonts w:ascii="Times New Roman" w:eastAsia="Times New Roman" w:hAnsi="Times New Roman" w:cs="Times New Roman"/>
          <w:sz w:val="18"/>
          <w:szCs w:val="20"/>
        </w:rPr>
        <w:t>Болотов</w:t>
      </w:r>
      <w:proofErr w:type="spellEnd"/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 В.Н. Арабский язык. Справочник по грамматике. – М.: Живой язык, 2009. – 224 </w:t>
      </w:r>
      <w:proofErr w:type="gramStart"/>
      <w:r w:rsidRPr="004C09CF">
        <w:rPr>
          <w:rFonts w:ascii="Times New Roman" w:eastAsia="Times New Roman" w:hAnsi="Times New Roman" w:cs="Times New Roman"/>
          <w:sz w:val="18"/>
          <w:szCs w:val="20"/>
        </w:rPr>
        <w:t>с</w:t>
      </w:r>
      <w:proofErr w:type="gramEnd"/>
      <w:r w:rsidRPr="004C09CF"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935C3E" w:rsidRPr="004C09CF" w:rsidRDefault="00935C3E" w:rsidP="00935C3E">
      <w:pPr>
        <w:numPr>
          <w:ilvl w:val="0"/>
          <w:numId w:val="1"/>
        </w:numPr>
        <w:tabs>
          <w:tab w:val="left" w:pos="567"/>
          <w:tab w:val="num" w:pos="1008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Вагнер В.М. </w:t>
      </w:r>
      <w:proofErr w:type="spellStart"/>
      <w:r w:rsidRPr="004C09CF">
        <w:rPr>
          <w:rFonts w:ascii="Times New Roman" w:eastAsia="Times New Roman" w:hAnsi="Times New Roman" w:cs="Times New Roman"/>
          <w:sz w:val="18"/>
          <w:szCs w:val="20"/>
        </w:rPr>
        <w:t>Лингвоориентированная</w:t>
      </w:r>
      <w:proofErr w:type="spellEnd"/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 методика преподавания русского языка как иностранного // Традиции и новации в профессиональной деятельности преподавателя русского языка как иностранного: Учебная монография. – М.: Российский университет дружбы народов, 2002, с. 60-74.</w:t>
      </w:r>
    </w:p>
    <w:p w:rsidR="00935C3E" w:rsidRPr="004C09CF" w:rsidRDefault="00935C3E" w:rsidP="00935C3E">
      <w:pPr>
        <w:numPr>
          <w:ilvl w:val="0"/>
          <w:numId w:val="1"/>
        </w:numPr>
        <w:tabs>
          <w:tab w:val="left" w:pos="567"/>
          <w:tab w:val="num" w:pos="1008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proofErr w:type="spellStart"/>
      <w:r w:rsidRPr="004C09CF">
        <w:rPr>
          <w:rFonts w:ascii="Times New Roman" w:eastAsia="Times New Roman" w:hAnsi="Times New Roman" w:cs="Times New Roman"/>
          <w:sz w:val="18"/>
          <w:szCs w:val="20"/>
        </w:rPr>
        <w:t>Джамиль</w:t>
      </w:r>
      <w:proofErr w:type="spellEnd"/>
      <w:r w:rsidRPr="004C09CF">
        <w:rPr>
          <w:rFonts w:ascii="Times New Roman" w:eastAsia="Times New Roman" w:hAnsi="Times New Roman" w:cs="Times New Roman"/>
          <w:sz w:val="18"/>
          <w:szCs w:val="20"/>
        </w:rPr>
        <w:t xml:space="preserve"> Я.Ю. Литературный арабский язык. – М.: Живой язык, 2006.</w:t>
      </w:r>
    </w:p>
    <w:p w:rsidR="00935C3E" w:rsidRPr="004C09CF" w:rsidRDefault="00935C3E" w:rsidP="00935C3E">
      <w:pPr>
        <w:numPr>
          <w:ilvl w:val="0"/>
          <w:numId w:val="1"/>
        </w:numPr>
        <w:tabs>
          <w:tab w:val="left" w:pos="567"/>
          <w:tab w:val="num" w:pos="1008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>Ибрагимов И.Д. Арабский язык. – СПб: АСТ, 2007. – 256 с.</w:t>
      </w:r>
    </w:p>
    <w:p w:rsidR="00935C3E" w:rsidRPr="005E5E71" w:rsidRDefault="00935C3E" w:rsidP="00935C3E">
      <w:pPr>
        <w:numPr>
          <w:ilvl w:val="0"/>
          <w:numId w:val="1"/>
        </w:numPr>
        <w:tabs>
          <w:tab w:val="left" w:pos="567"/>
          <w:tab w:val="num" w:pos="1008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C09CF">
        <w:rPr>
          <w:rFonts w:ascii="Times New Roman" w:eastAsia="Times New Roman" w:hAnsi="Times New Roman" w:cs="Times New Roman"/>
          <w:sz w:val="18"/>
          <w:szCs w:val="20"/>
        </w:rPr>
        <w:t>Фролова О.Б. Мы говорим по-арабски: Учебник. – М.: Филология, 2002. – 286 </w:t>
      </w:r>
      <w:proofErr w:type="gramStart"/>
      <w:r w:rsidRPr="004C09CF">
        <w:rPr>
          <w:rFonts w:ascii="Times New Roman" w:eastAsia="Times New Roman" w:hAnsi="Times New Roman" w:cs="Times New Roman"/>
          <w:sz w:val="18"/>
          <w:szCs w:val="20"/>
        </w:rPr>
        <w:t>с</w:t>
      </w:r>
      <w:proofErr w:type="gramEnd"/>
      <w:r w:rsidRPr="004C09CF"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2B4DF6" w:rsidRDefault="002B4DF6"/>
    <w:sectPr w:rsidR="002B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419"/>
    <w:multiLevelType w:val="hybridMultilevel"/>
    <w:tmpl w:val="3162FD58"/>
    <w:lvl w:ilvl="0" w:tplc="A1AE1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C3E"/>
    <w:rsid w:val="002B4DF6"/>
    <w:rsid w:val="0093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35C3E"/>
    <w:pPr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C3E"/>
    <w:rPr>
      <w:rFonts w:ascii="Times New Roman" w:eastAsia="Calibri" w:hAnsi="Times New Roman" w:cs="Times New Roman"/>
      <w:b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2016-03-21T15:47:00Z</dcterms:created>
  <dcterms:modified xsi:type="dcterms:W3CDTF">2016-03-21T15:51:00Z</dcterms:modified>
</cp:coreProperties>
</file>