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5F" w:rsidRPr="0026104A" w:rsidRDefault="004B255F" w:rsidP="004B255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34"/>
      <w:r w:rsidRPr="0026104A">
        <w:rPr>
          <w:rFonts w:ascii="Times New Roman" w:eastAsia="Calibri" w:hAnsi="Times New Roman" w:cs="Times New Roman"/>
          <w:b/>
          <w:sz w:val="28"/>
          <w:szCs w:val="28"/>
        </w:rPr>
        <w:t>СПЕЦИАЛЬНЫЙ ТЕРМИН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255F" w:rsidRPr="0026104A" w:rsidRDefault="004B255F" w:rsidP="004B255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442863835"/>
      <w:r w:rsidRPr="0026104A">
        <w:rPr>
          <w:rFonts w:ascii="Times New Roman" w:eastAsia="Calibri" w:hAnsi="Times New Roman" w:cs="Times New Roman"/>
          <w:b/>
          <w:sz w:val="28"/>
          <w:szCs w:val="28"/>
        </w:rPr>
        <w:t>В КОНТЕКСТЕ КОММУНИКАЦИИ</w:t>
      </w:r>
      <w:r w:rsidRPr="0026104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С НЕСПЕЦИАЛИСТАМИ</w:t>
      </w:r>
      <w:bookmarkEnd w:id="1"/>
    </w:p>
    <w:p w:rsidR="004B255F" w:rsidRPr="0026104A" w:rsidRDefault="004B255F" w:rsidP="004B255F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B255F" w:rsidRPr="0026104A" w:rsidRDefault="004B255F" w:rsidP="004B255F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Я.В. Разводовская </w:t>
      </w:r>
    </w:p>
    <w:p w:rsidR="004B255F" w:rsidRPr="0026104A" w:rsidRDefault="004B255F" w:rsidP="004B255F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(Гродненский государственный медицинский университет)</w:t>
      </w:r>
    </w:p>
    <w:p w:rsidR="004B255F" w:rsidRPr="0026104A" w:rsidRDefault="004B255F" w:rsidP="004B25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5F" w:rsidRPr="0026104A" w:rsidRDefault="004B255F" w:rsidP="004B25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коммуникация предполагает взаимодействие между представителями определенных профессий (в том числе и родственных). Разграничивают профессиональную коммуникацию в процессе обучения профессии, коммуникацию для решения профессиональных задач и коммуникацию в процессе деятельности [1, с. 20]. Коммуникацию в рамках социальной и индивидуальной деятельности или сферы можно рассматривать аналогично профессиональной или специальной [5, с. 29]. Важным аспектом профессиональной коммуникации является принадлежность хотя бы одного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определенной профессиональной (корпоративной) культуре [9, с. 29]. 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специальных областей, которые можно отнести к социально значимым (например, здравоохранение), предполагается не только взаимодействие специалистов, но и взаимодействие специалиста и неспециалиста («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профана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как, например, врач – пациент [8, с. 48], что позволяет говорить о расширении профессиональной сферы за рамки общения только специалистов одной или смежных специальных (предметных) областей.</w:t>
      </w:r>
    </w:p>
    <w:p w:rsidR="004B255F" w:rsidRPr="0026104A" w:rsidRDefault="004B255F" w:rsidP="004B255F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модель специалист – неспециалист реализуется не только в различных ситуациях общения, но и в произведениях научно-популярного стиля, энциклопедических словарях, брошюрах просветительского характера и т.п. Данная модель коммуникации является неоднородной и может затрагивать как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однодисциплинарные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разнодисциплинарные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  знания [4, с. 125]. 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Тексты, принадлежащие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научно-популярному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подстилю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главным образом на неспециалистов. </w:t>
      </w:r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текстах данного </w:t>
      </w:r>
      <w:proofErr w:type="spellStart"/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подстиля</w:t>
      </w:r>
      <w:proofErr w:type="spellEnd"/>
      <w:r w:rsidRPr="00261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популяризуется научная информация, предназначенная для широкого круга пользователей разного возраста, образования, общей эрудиции. При этом адресантом могут быть как специалисты, так и «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квазиспециалисты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какой-либо области знания, не имеющие глубоких профессиональных знаний об обсуждаемом объекте и выступающие «в качестве связующего звена между специалистом (ученым) и неспециалистом» [6, с. 103]. Основной целью коммуникации между специалистом (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квазиспециалистом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неспециалистом является передача научной (специальной) информации неспециалисту в доступной для его понимания форме. При этом умение адресанта сделать специальный текст понятным массовому читателю, не обладающему специальными знаниями, создает условия успешности коммуникативного события [6, с. 102]. 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считать, что специальное знание может быть передано неспециалистам на более низком уровне абстракции и специальности, а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виде некоторых аксиом и истин может входить в обыденное знание [10, с. 99]. Допускается возможность интерпретации значения неизвестных терминов неспециалистом на самом высоком уровне абстракции, при этом наличие «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предзнания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сходства / несходства баз знаний участников коммуникации при определении уровня адекватности понимания и интерпретации информации имеет большое значение, особенно при коммуникации между специалистом и неспециалистом [2, с. 21].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популяризация специальных знаний не предполагает их трансформирование или упрощение для восприятия непрофессионалом, а подразумевает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реконтекстуализацию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реконтекстуализацией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приспособление специального знания к возможностям его усвоения адресатом для последующего интегрирования в уже имеющиеся знания с целью реализации возможности принятия адресатом решений по широкому спектру вопросов относительно науки, личной и общественной жизни [12, с. 370]. Новые термины, понятия или знания связываются с уже имеющимися с помощью таких операций, как часть и целое, композиция, интерпретация и т.д. [12, с. 384]. Именно контекст, «служит своеобразным «магнитом», который «вытягивает» из стоящего за конкретным знаком содержания понятия (или из значения языковой единицы) определенные смыслы, репрезентируемые этим знаком при каждом его словоупотреблении» [2, с. 21].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медицинского содержания по вопросам сохранения здоровья рассчитаны на широкую читательскую аудиторию. Задачей автора может являться воздействие на сознание читателя посредством коммуникативной стратегии убеждения. С учетом социальной роли адресанта и адресата производится выбор языковых сре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коммуникативных целей и задач. </w:t>
      </w:r>
    </w:p>
    <w:p w:rsidR="004B255F" w:rsidRPr="0026104A" w:rsidRDefault="004B255F" w:rsidP="004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терминов в научно-популярных текстах содействует ясности и точности изложения, кроме того, функционирование терминологических синонимов, антонимов, гипонимов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гиперонимов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связности научно-популярного текста на лексическом уровне [3, с. 190]. Специалист, взаимодействуя с непрофессионалом, посредством терминов воздействует на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-ментальную сферу адресата, который «отбирает релевантное основание аксиологической и / или эмоциональной оценки предмета, явления, актуализирует некоторые периферийные или потенциальные элементы значения слова, в частности – прагматическое значение» [11, с. 192]. В этой связи актуализируется роль специального термина как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вербализатора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достоверной исчерпывающей информации в процессе передачи специального знания от профессионала непрофессионалу.</w:t>
      </w:r>
    </w:p>
    <w:p w:rsidR="004B255F" w:rsidRPr="0026104A" w:rsidRDefault="004B255F" w:rsidP="004B255F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термина в рамках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интерпрофессиональной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коммуникации, а также коммуникации с непрофессионалами актуализирует ряд вопросов, связанных с семантической неоднозначностью термина, пониманием термина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коммуникантами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 уровнем специальных знаний, а также адекватным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дефинированием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лексикографированием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 для различных категорий адресатов. Использование термина в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неспециальной коммуникации требует «отражения значимых для общества компонентов смысла», в отличие от традиционного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дефинирования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 в рамках специальной коммуникации. При этом выбор содержания определения термина зависит от целевой группы адресатов [7, с. 65]. Особого внимания требуют терминологии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интердисциплинарных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областей в стадии становления, когда переплетение предметных знаний,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вербализованное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термине, может стать причиной коммуникативных неудач в рамках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интрапрофессиональной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и коммуникации с непрофессиональной аудиторией.</w:t>
      </w:r>
    </w:p>
    <w:p w:rsidR="004B255F" w:rsidRPr="0026104A" w:rsidRDefault="004B255F" w:rsidP="004B255F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5F" w:rsidRPr="0026104A" w:rsidRDefault="004B255F" w:rsidP="004B255F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Голованова, Е.И. Лингвистическая интерпретация термина: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-коммуникативный подход / Е.И. Голованова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Изв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Урал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ос. ун-та. Сер.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Гуманитар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науки. – 2004. 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 8 (33). – С. 18–25.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Дроздова,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Т.В. Термин в системе языка и в коммуникативном контексте / Т.В.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Дроздова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Челяб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гос. ун-та. Сер. Филология. Искусствоведение. – 2011. 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57, № 24 (239). – С.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19–21.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Жаббарова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, Ф.У. Роль терминов в создании связности научно-популярного текста / Ф. У.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Жаббарова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// Рос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>уманитар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журн. – 2013. – Т. 2, № 2. – С. 185–192.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Культура русской речи: учебник для вузов; под ред. Л.К. Граудиной, Е.Н. Ширяева. – М.: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группа НОРМА–ИНФРА, 1998. 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Лейчик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 В.М. Профессиональная и непрофессиональная лексика в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 непрофессиональных LSP / В.М.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Лейчик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Челяб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гос. ун-та. Сер. Филология. Искусствоведение. – 2011. 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 57, № 24 (239). – С. 29–32.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Новодранова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, В.Ф. Семантические модификации термина в медицинском дискурсе / В.Ф.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Новодранова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, Ю.Б.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Мотро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Челяб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гос. ун-та. Сер. Филология. Искусствоведение. – 2011. 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 60, № 33 (248). – С. 101–104.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Рычкова,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Л.В. Терминология в различных видах коммуникации / Л.В.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Рычкова // Терминология и знание: материалы 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симп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., Москва, 21–22 мая 2010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г. – М.: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центр «Азбуковник», 2010. – С.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63–70.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Харченко, Е.В. Восприятие и понимание в профессиональном общении / Е.В. Харченко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Челяб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гос. ун-та. – 2011. – № 24. – С. 48–49.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Харченко, Е.В. Профессиональное общение и речевое воздействие в современной России / Е.В. Харченко, Л.В.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Тарануха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Юж</w:t>
      </w:r>
      <w:proofErr w:type="spellEnd"/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>Урал. гос. ун-та. Сер. Лингвистика. – 2009. – № 2 (135). – С. 29–34.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Хомутова, Т.Н. Язык для специальных целей (LSP): лингвистический аспект / Т.Н. Хомутова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Изв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Рос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ун-та им. А.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И.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Герцена. – 2008. – №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71. – С.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6104A">
        <w:rPr>
          <w:rFonts w:ascii="Times New Roman" w:eastAsia="Calibri" w:hAnsi="Times New Roman" w:cs="Times New Roman"/>
          <w:sz w:val="28"/>
          <w:szCs w:val="28"/>
        </w:rPr>
        <w:t>96–106.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Чернова, О.Е. Прагматическое значение слова как фактор коммуникативного влияния / О.Е. Чернова //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Изв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. Урал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ос. ун-та. – 2003.– </w:t>
      </w:r>
      <w:r w:rsidRPr="0026104A">
        <w:rPr>
          <w:rFonts w:ascii="Times New Roman" w:eastAsia="Calibri" w:hAnsi="Times New Roman" w:cs="Times New Roman"/>
          <w:sz w:val="28"/>
          <w:szCs w:val="28"/>
        </w:rPr>
        <w:br/>
        <w:t>№ 28. – С. 192–198.</w:t>
      </w:r>
    </w:p>
    <w:p w:rsidR="004B255F" w:rsidRPr="0026104A" w:rsidRDefault="004B255F" w:rsidP="004B25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Calsamiglia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, H. Popularization discourse and knowledge about the genome / H.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Calsamiglia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T.A. Van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Dijk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Discourse Soc. – 2004. – Vol. 15, № 4. – P. 369–389.</w:t>
      </w:r>
    </w:p>
    <w:p w:rsidR="00A8289B" w:rsidRPr="004B255F" w:rsidRDefault="00A8289B">
      <w:pPr>
        <w:rPr>
          <w:lang w:val="en-US"/>
        </w:rPr>
      </w:pPr>
      <w:bookmarkStart w:id="2" w:name="_GoBack"/>
      <w:bookmarkEnd w:id="2"/>
    </w:p>
    <w:sectPr w:rsidR="00A8289B" w:rsidRPr="004B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510"/>
    <w:multiLevelType w:val="hybridMultilevel"/>
    <w:tmpl w:val="FDA8E314"/>
    <w:lvl w:ilvl="0" w:tplc="0419000F">
      <w:start w:val="1"/>
      <w:numFmt w:val="decimal"/>
      <w:lvlText w:val="%1."/>
      <w:lvlJc w:val="left"/>
      <w:pPr>
        <w:ind w:left="2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6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88"/>
    <w:rsid w:val="00033A9F"/>
    <w:rsid w:val="004B255F"/>
    <w:rsid w:val="00A8289B"/>
    <w:rsid w:val="00F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2016-03-11T14:01:00Z</dcterms:created>
  <dcterms:modified xsi:type="dcterms:W3CDTF">2016-03-11T14:02:00Z</dcterms:modified>
</cp:coreProperties>
</file>