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030" w:rsidRPr="0026104A" w:rsidRDefault="00153030" w:rsidP="00153030">
      <w:pPr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Toc442863817"/>
      <w:r w:rsidRPr="0026104A">
        <w:rPr>
          <w:rFonts w:ascii="Times New Roman" w:eastAsia="Calibri" w:hAnsi="Times New Roman" w:cs="Times New Roman"/>
          <w:b/>
          <w:sz w:val="28"/>
          <w:szCs w:val="28"/>
        </w:rPr>
        <w:t>СЛОЖНОСТИ ПЕРЕВОДА АВТОРСКИХ МЕТАФОР</w:t>
      </w:r>
      <w:bookmarkEnd w:id="0"/>
      <w:r w:rsidRPr="002610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53030" w:rsidRPr="0026104A" w:rsidRDefault="00153030" w:rsidP="0015303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030" w:rsidRPr="0026104A" w:rsidRDefault="00153030" w:rsidP="0015303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Э. Цуркан-Дружка (Лодзинский университет, Польша)</w:t>
      </w:r>
    </w:p>
    <w:p w:rsidR="00153030" w:rsidRPr="0026104A" w:rsidRDefault="00153030" w:rsidP="00153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53030" w:rsidRPr="0026104A" w:rsidRDefault="00153030" w:rsidP="00153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Задумываясь над задачами перевода художественного текста, можно выделить основные, которые, по нашему мнению, являются ведущими: по мере возможности адекватно отразить в языке перевода мысли и средства выражения, т.е. индивидуальный стиль автора (вместе с его особенностями), возбудить в читателе схожие эмоции и передать образы, которые после прочтения были бы явными для адресата оригинала, – максимально «донести» воздействие произведения. </w:t>
      </w:r>
    </w:p>
    <w:p w:rsidR="00153030" w:rsidRPr="0026104A" w:rsidRDefault="00153030" w:rsidP="00153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Несомненно, в мастерстве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перевода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одним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из сложнейших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видов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pl-PL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еятельности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является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поиск соответствующего эквивалента, а также умение преодолеть границы родной культуры, национального мышления и литературно-языковых традиций. Как справедливо замечает в своей диссертации Наталья Борковец: «В переводе сталкиваются различные культуры, разные личности, разные склады мышления, разные литературы, разные эпохи, разные уровни развития, разные традиции и установки» [1. с. 146] – задача переводчика передать получателю перевода не только смысл оригинала, но и его прагматический заряд. </w:t>
      </w:r>
    </w:p>
    <w:p w:rsidR="00153030" w:rsidRPr="0026104A" w:rsidRDefault="00153030" w:rsidP="00153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Стоит отметить, что при переводе поэзии, кроме вышеперечисленных, выявляются дополнительные трудности, такие как попытка воссоздать ритм и размер произведения. </w:t>
      </w:r>
    </w:p>
    <w:p w:rsidR="00153030" w:rsidRPr="0026104A" w:rsidRDefault="00153030" w:rsidP="00153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pl-PL"/>
        </w:rPr>
        <w:t>По нашему мнению, особого внимания заслуживают проблемы, связанные с переносом образных средств выражения, которыми изобилует поэзия. Необходимо отметить, что многие ученые акцентируют появление особенных трудностей при переводе метафорических выражений.</w:t>
      </w:r>
    </w:p>
    <w:p w:rsidR="00153030" w:rsidRPr="0026104A" w:rsidRDefault="00153030" w:rsidP="00153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Роль метафоры в художественной речи неоспоримо велика, и поэтому ее перевод требует от переводчика предельной бдительности. Большинство ученых придерживается мнения, что по мере возможности стоит сохранить метафору в тексте перевода, так как отказ от нее или значительная трансформация неизбежно приводят к обеднению художественного пласта произведения, а также зачастую к искажению замысла автора. Однако необходимо учесть, что в ряде случаев нахождение эквивалента в другом языке бывает просто невозможным в силу множества отличий более и менее явных, поэтому сохранение метафоры в тексте, даже при большом желании переводчика, может стать невыполнимой задачей.  </w:t>
      </w:r>
    </w:p>
    <w:p w:rsidR="00153030" w:rsidRPr="0026104A" w:rsidRDefault="00153030" w:rsidP="00153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Одним из первых, кто обратил внимание на недостаточное количество работ, посвященных переводу метафоры, был представитель израильской школы перевода Менахем Дагут. Им было замечено, что существуют два противоположных направления – считается, что метафора либо не переводится вовсе (Найда, Вине и Дарбельне), либо ее очень легко перевести дословно (Рэйсс, Клоэпфер). Сосредотачиваясь на второй точке зрения, Дагут приводит примеры и доказывает, что дословный перевод не имеет смысла, так как не принимает во внимание семантические ассоциации, их сдвиги и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культурный опыт, тогда как именно эти составляющие имеют существенное влияние на уровень переводимости метафоры. </w:t>
      </w:r>
    </w:p>
    <w:p w:rsidR="00153030" w:rsidRPr="0026104A" w:rsidRDefault="00153030" w:rsidP="00153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По мнению Дагута, метафора, являясь индивидуально-творческой вспышкой воображения, культурно обусловлена. Переводимость метафоры с языка оригинала, во-первых, непосредственно зависит от определенного культурного опыта и семантических ассоциаций, которые она возбуждает в воображении реципиента, а во-вторых, от степени, в какой они могут или не могут быть воспроизведены соответственно в языке перевода. Исходя из этого, как считает Дагут, эквивалент метафоры в языке перевода не находится, а чаще всего создается заново, так как невозможно найти такую же замену [2. с. 24]. </w:t>
      </w:r>
    </w:p>
    <w:p w:rsidR="00153030" w:rsidRPr="0026104A" w:rsidRDefault="00153030" w:rsidP="00153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В свою очередь, Питер Ньюмарк для перевода авторских метафор предлагает перевод как можно ближе оригиналу, то есть почти дословно, потому как этот вид метафор является носителем широкой информации о самом авторе, о его миропонимании и мировосприятии, авторские метафоры являются также источником обогащения языка перевода. Однако Ньюмарк обращает внимание на то, что если метафора содержит в себе культурные понятия, недоступные пониманию или совершенно чуждые реципиенту, то ее можно адаптировать для получателя перевода с помощью более доступного образа [6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c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112-113]. </w:t>
      </w:r>
    </w:p>
    <w:p w:rsidR="00153030" w:rsidRPr="0026104A" w:rsidRDefault="00153030" w:rsidP="00153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Следуя далее своих предшественников, бельгийский ученый Раймонд ван ден Брок обращает внимание не только на саму метафору, но и на ее окружение, воспринимая выражение в целом. Он так же, как и Дагут, указывает на неразрывную связь с социокультурными факторами, однако дополнительно акцентирует связь с языковыми и литературными нормами. Заостряя свое внимание на том, что преградой в переводе метафоры может стать языковая система – разницы, выступающие в этой системе в обоих языках. Следующую сложность составляют экстралингвистические факторы, так называемые культурные контексты. Третий вид препятствий – это перенос условностей, выступающих в литературных традициях. Иногда имеет место также большая разница в эстетическом и моральном кодировании между двумя языками. Когда, например, система языка руководствуется жесткими нормами и из-за них отвергает «смелые» метафоры, находя их недостаточно «скромными» – это влечет за собой деформирование и «очищение» метафоры в переводе [2 c. 73-87]. </w:t>
      </w:r>
    </w:p>
    <w:p w:rsidR="00153030" w:rsidRPr="0026104A" w:rsidRDefault="00153030" w:rsidP="00153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pl-PL"/>
        </w:rPr>
        <w:t>Из польских исследователей, посвятивших свои работы сложностям и стратегиям перевода метафор, стоит отметить труды Эльжбеты Табаковской и Тересы Добжиньской.</w:t>
      </w:r>
    </w:p>
    <w:p w:rsidR="00153030" w:rsidRPr="0026104A" w:rsidRDefault="00153030" w:rsidP="00153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pl-PL"/>
        </w:rPr>
        <w:t>Табаковска подтверждает факт, что образная метафора действительно с трудом поддается переводу, так как выступает только в той культуре, в которой была создана и обусловлена соответствующими ей культурными, историческими и социальными факторами. Именно поэтому часто бывает так, что непереводимость оригинальных метафор связана с ограничениями на уровне познания [7 с. 93].</w:t>
      </w:r>
    </w:p>
    <w:p w:rsidR="00153030" w:rsidRPr="0026104A" w:rsidRDefault="00153030" w:rsidP="00153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В свою очередь, Добжиньска заостряет свое внимание на трех основных группах проблем, которые появляются при переводе метафоры на другой язык: отличающееся коннотационное «оснащение», отношения внутри кода, функционирование метафорического выражения в конкретном тексте.</w:t>
      </w:r>
    </w:p>
    <w:p w:rsidR="00153030" w:rsidRPr="0026104A" w:rsidRDefault="00153030" w:rsidP="00153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Польская ученая подчеркивает, что возможность понимания метафоры зависит от того, содержит ли носитель метафоры схожий (в большинстве своем) ряд коннотаций в обеих языковых культурах, или же связан только с этнической культурой автора оригинала. </w:t>
      </w:r>
    </w:p>
    <w:p w:rsidR="00153030" w:rsidRPr="0026104A" w:rsidRDefault="00153030" w:rsidP="00153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О коннотационных различиях рассуждает также в своей работе «Коннотация чужого в переводе» Роман Левицки. Он обращает внимание на то, что коннотации у реципиентов, принадлежащих к разным языковым культурам, могут значительно отличаться (и вообще редко бывают схожими в связи с культурными, национальными и, в конце концов, языковыми отличиями), создавая тем самым коннотацию чужого в переводе [5 с.23]. </w:t>
      </w:r>
    </w:p>
    <w:p w:rsidR="00153030" w:rsidRPr="0026104A" w:rsidRDefault="00153030" w:rsidP="00153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На данный аспект обращает внимание также Добжиньска – перевод может верно передавать смысл, нивелируя при этом образную специфику культуры, являющуюся носителем метафоры, но может и целенаправленно усилить экзотическое значение оригинала, перенося метафору в ее поверхностной форме в новый культурный контекст. </w:t>
      </w:r>
    </w:p>
    <w:p w:rsidR="00153030" w:rsidRPr="0026104A" w:rsidRDefault="00153030" w:rsidP="00153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Тереса Добжиньска в своих рассуждениях подчеркивает важную роль стилистических и грамматических свойств выражения при поиске эквивалента в языке перевода. Особенно необходимо иметь это в виду, когда та же грамматическая форма метафоры (быстрее всего воспроизводимая) вносит другую стилистическую окраску, становясь в связи с этим неточным эквивалентом по отношению к оригиналу. Стоит помнить и о коннотациях, связанных с непосредственными эквивалентами в другом языке, так как их отличие может быть значимым, несмотря на «внешние» сходства. </w:t>
      </w:r>
    </w:p>
    <w:p w:rsidR="00153030" w:rsidRPr="0026104A" w:rsidRDefault="00153030" w:rsidP="00153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Для того чтобы «не попасть в ловушку», Добжиньска предлагает переводчику провести следующий анализ: </w:t>
      </w:r>
    </w:p>
    <w:p w:rsidR="00153030" w:rsidRPr="0026104A" w:rsidRDefault="00153030" w:rsidP="00153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1. Выявить (распознать) метафорическую парадигму, в которую входит оригинальная метафора </w:t>
      </w:r>
    </w:p>
    <w:p w:rsidR="00153030" w:rsidRPr="0026104A" w:rsidRDefault="00153030" w:rsidP="00153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pl-PL"/>
        </w:rPr>
        <w:t>2. Определить место – центральное или периферийное – данной метафоры в области этой парадигмы [4 с. 116].</w:t>
      </w:r>
    </w:p>
    <w:p w:rsidR="00153030" w:rsidRPr="0026104A" w:rsidRDefault="00153030" w:rsidP="00153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pl-PL"/>
        </w:rPr>
        <w:t>Если метафорическое выражение переносится на весь текст или на его большую часть, то стоит сосредоточить внимание на общем значении данной части, а не на переводе единичных метафор, перевод которых может просто не получиться из-за их большого нагромождения.</w:t>
      </w:r>
    </w:p>
    <w:p w:rsidR="00153030" w:rsidRPr="0026104A" w:rsidRDefault="00153030" w:rsidP="00153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Подводя итог нашим рассуждениям, приходим к выводу, что перевод авторских метафор требует от переводчика поиска как функциональных эквивалентов, так и таких выражений, которые активизируют в сознании соответствующие ассоциации. Необходимо помнить, что в другой язык переносится не только значение, но и весь эмоционально-культурный «багаж», которым наделил метафору создатель. </w:t>
      </w:r>
    </w:p>
    <w:p w:rsidR="00153030" w:rsidRPr="0026104A" w:rsidRDefault="00153030" w:rsidP="00153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53030" w:rsidRPr="0026104A" w:rsidRDefault="00153030" w:rsidP="00153030">
      <w:pPr>
        <w:numPr>
          <w:ilvl w:val="0"/>
          <w:numId w:val="1"/>
        </w:numPr>
        <w:tabs>
          <w:tab w:val="num" w:pos="142"/>
          <w:tab w:val="left" w:pos="426"/>
        </w:tabs>
        <w:spacing w:after="0" w:line="240" w:lineRule="auto"/>
        <w:ind w:left="14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Борковец, Н.И. Техническая метафора в художественной картине мира (на материале немецкой прозы 20 века и ее переводов на русский язык), Екатеринбург, Челябинский государственный университет, 2002, с. 146.</w:t>
      </w:r>
    </w:p>
    <w:p w:rsidR="00153030" w:rsidRPr="0026104A" w:rsidRDefault="00153030" w:rsidP="00153030">
      <w:pPr>
        <w:numPr>
          <w:ilvl w:val="0"/>
          <w:numId w:val="1"/>
        </w:numPr>
        <w:tabs>
          <w:tab w:val="num" w:pos="142"/>
          <w:tab w:val="left" w:pos="426"/>
        </w:tabs>
        <w:spacing w:after="0" w:line="240" w:lineRule="auto"/>
        <w:ind w:left="14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Broeck van den, R.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pl-PL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The Limits of Translatability Exemplified by Metaphor Translation, [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pl-PL"/>
        </w:rPr>
        <w:t>в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:] Poetics Today, Translation Theory and Intercultural Relations, 1981, Vol. 2, No. 4, с. 73-87. </w:t>
      </w:r>
    </w:p>
    <w:p w:rsidR="00153030" w:rsidRPr="0026104A" w:rsidRDefault="00153030" w:rsidP="00153030">
      <w:pPr>
        <w:numPr>
          <w:ilvl w:val="0"/>
          <w:numId w:val="1"/>
        </w:numPr>
        <w:tabs>
          <w:tab w:val="num" w:pos="142"/>
          <w:tab w:val="left" w:pos="426"/>
        </w:tabs>
        <w:spacing w:after="0" w:line="240" w:lineRule="auto"/>
        <w:ind w:left="14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Dagut, M. „Can „Metaphor” be translated?” [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pl-PL"/>
        </w:rPr>
        <w:t>в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:] Babel, New York, 1976, 22: 1, с. 21-33.</w:t>
      </w:r>
    </w:p>
    <w:p w:rsidR="00153030" w:rsidRPr="0026104A" w:rsidRDefault="00153030" w:rsidP="00153030">
      <w:pPr>
        <w:numPr>
          <w:ilvl w:val="0"/>
          <w:numId w:val="1"/>
        </w:numPr>
        <w:tabs>
          <w:tab w:val="num" w:pos="142"/>
          <w:tab w:val="left" w:pos="426"/>
        </w:tabs>
        <w:spacing w:after="0" w:line="240" w:lineRule="auto"/>
        <w:ind w:left="14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GB" w:eastAsia="pl-PL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val="en-GB" w:eastAsia="pl-PL"/>
        </w:rPr>
        <w:t>Dobrzyńska, T. Metafora w przekładzie, Wrocław, 1984, c.101.</w:t>
      </w:r>
    </w:p>
    <w:p w:rsidR="00153030" w:rsidRPr="0026104A" w:rsidRDefault="00153030" w:rsidP="00153030">
      <w:pPr>
        <w:numPr>
          <w:ilvl w:val="0"/>
          <w:numId w:val="1"/>
        </w:numPr>
        <w:tabs>
          <w:tab w:val="num" w:pos="142"/>
          <w:tab w:val="left" w:pos="426"/>
        </w:tabs>
        <w:spacing w:after="0" w:line="240" w:lineRule="auto"/>
        <w:ind w:left="14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GB" w:eastAsia="pl-PL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val="en-GB" w:eastAsia="pl-PL"/>
        </w:rPr>
        <w:t>Lewicki, R. Konotacja obcości w przekładzie, Lublin, 1993, c. 28.</w:t>
      </w:r>
    </w:p>
    <w:p w:rsidR="00153030" w:rsidRPr="0026104A" w:rsidRDefault="00153030" w:rsidP="00153030">
      <w:pPr>
        <w:numPr>
          <w:ilvl w:val="0"/>
          <w:numId w:val="1"/>
        </w:numPr>
        <w:tabs>
          <w:tab w:val="num" w:pos="142"/>
          <w:tab w:val="left" w:pos="426"/>
        </w:tabs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Newmark, P. A Tekstbook of translation, London, 1988, </w:t>
      </w:r>
      <w:r w:rsidRPr="0026104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en-US"/>
        </w:rPr>
        <w:t>. 112-113.</w:t>
      </w:r>
    </w:p>
    <w:p w:rsidR="00153030" w:rsidRPr="0026104A" w:rsidRDefault="00153030" w:rsidP="00153030">
      <w:pPr>
        <w:numPr>
          <w:ilvl w:val="0"/>
          <w:numId w:val="1"/>
        </w:numPr>
        <w:tabs>
          <w:tab w:val="num" w:pos="142"/>
          <w:tab w:val="left" w:pos="426"/>
        </w:tabs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26104A">
        <w:rPr>
          <w:rFonts w:ascii="Times New Roman" w:eastAsia="Calibri" w:hAnsi="Times New Roman" w:cs="Times New Roman"/>
          <w:sz w:val="28"/>
          <w:szCs w:val="28"/>
          <w:lang w:val="en-GB"/>
        </w:rPr>
        <w:t>Tabakowska, E. Językoznawstwo kognitywne a poetyka przekładu, Universitas,  2001.</w:t>
      </w:r>
    </w:p>
    <w:p w:rsidR="00A8289B" w:rsidRPr="00153030" w:rsidRDefault="00A8289B">
      <w:pPr>
        <w:rPr>
          <w:lang w:val="en-GB"/>
        </w:rPr>
      </w:pPr>
      <w:bookmarkStart w:id="1" w:name="_GoBack"/>
      <w:bookmarkEnd w:id="1"/>
    </w:p>
    <w:sectPr w:rsidR="00A8289B" w:rsidRPr="00153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11D8B"/>
    <w:multiLevelType w:val="hybridMultilevel"/>
    <w:tmpl w:val="1400AB84"/>
    <w:lvl w:ilvl="0" w:tplc="2C424614">
      <w:start w:val="1"/>
      <w:numFmt w:val="decimal"/>
      <w:lvlText w:val="%1."/>
      <w:lvlJc w:val="left"/>
      <w:pPr>
        <w:ind w:left="1138" w:hanging="360"/>
      </w:pPr>
    </w:lvl>
    <w:lvl w:ilvl="1" w:tplc="04150019">
      <w:start w:val="1"/>
      <w:numFmt w:val="lowerLetter"/>
      <w:lvlText w:val="%2."/>
      <w:lvlJc w:val="left"/>
      <w:pPr>
        <w:ind w:left="1858" w:hanging="360"/>
      </w:pPr>
    </w:lvl>
    <w:lvl w:ilvl="2" w:tplc="0415001B">
      <w:start w:val="1"/>
      <w:numFmt w:val="lowerRoman"/>
      <w:lvlText w:val="%3."/>
      <w:lvlJc w:val="right"/>
      <w:pPr>
        <w:ind w:left="2578" w:hanging="180"/>
      </w:pPr>
    </w:lvl>
    <w:lvl w:ilvl="3" w:tplc="0415000F">
      <w:start w:val="1"/>
      <w:numFmt w:val="decimal"/>
      <w:lvlText w:val="%4."/>
      <w:lvlJc w:val="left"/>
      <w:pPr>
        <w:ind w:left="3298" w:hanging="360"/>
      </w:pPr>
    </w:lvl>
    <w:lvl w:ilvl="4" w:tplc="04150019">
      <w:start w:val="1"/>
      <w:numFmt w:val="lowerLetter"/>
      <w:lvlText w:val="%5."/>
      <w:lvlJc w:val="left"/>
      <w:pPr>
        <w:ind w:left="4018" w:hanging="360"/>
      </w:pPr>
    </w:lvl>
    <w:lvl w:ilvl="5" w:tplc="0415001B">
      <w:start w:val="1"/>
      <w:numFmt w:val="lowerRoman"/>
      <w:lvlText w:val="%6."/>
      <w:lvlJc w:val="right"/>
      <w:pPr>
        <w:ind w:left="4738" w:hanging="180"/>
      </w:pPr>
    </w:lvl>
    <w:lvl w:ilvl="6" w:tplc="0415000F">
      <w:start w:val="1"/>
      <w:numFmt w:val="decimal"/>
      <w:lvlText w:val="%7."/>
      <w:lvlJc w:val="left"/>
      <w:pPr>
        <w:ind w:left="5458" w:hanging="360"/>
      </w:pPr>
    </w:lvl>
    <w:lvl w:ilvl="7" w:tplc="04150019">
      <w:start w:val="1"/>
      <w:numFmt w:val="lowerLetter"/>
      <w:lvlText w:val="%8."/>
      <w:lvlJc w:val="left"/>
      <w:pPr>
        <w:ind w:left="6178" w:hanging="360"/>
      </w:pPr>
    </w:lvl>
    <w:lvl w:ilvl="8" w:tplc="0415001B">
      <w:start w:val="1"/>
      <w:numFmt w:val="lowerRoman"/>
      <w:lvlText w:val="%9."/>
      <w:lvlJc w:val="right"/>
      <w:pPr>
        <w:ind w:left="689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56C"/>
    <w:rsid w:val="00033A9F"/>
    <w:rsid w:val="00153030"/>
    <w:rsid w:val="0095456C"/>
    <w:rsid w:val="00A8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1344</Words>
  <Characters>7661</Characters>
  <Application>Microsoft Office Word</Application>
  <DocSecurity>0</DocSecurity>
  <Lines>63</Lines>
  <Paragraphs>17</Paragraphs>
  <ScaleCrop>false</ScaleCrop>
  <Company/>
  <LinksUpToDate>false</LinksUpToDate>
  <CharactersWithSpaces>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2016-03-11T13:04:00Z</dcterms:created>
  <dcterms:modified xsi:type="dcterms:W3CDTF">2016-03-11T13:04:00Z</dcterms:modified>
</cp:coreProperties>
</file>