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F3" w:rsidRPr="0026104A" w:rsidRDefault="002133F3" w:rsidP="002133F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33F3" w:rsidRPr="0026104A" w:rsidRDefault="002133F3" w:rsidP="002133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be-BY" w:eastAsia="ru-RU"/>
        </w:rPr>
        <w:t xml:space="preserve">Двуязычие художественного текста </w:t>
      </w:r>
    </w:p>
    <w:p w:rsidR="002133F3" w:rsidRPr="0026104A" w:rsidRDefault="002133F3" w:rsidP="002133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be-BY" w:eastAsia="ru-RU"/>
        </w:rPr>
        <w:t xml:space="preserve">как определенная авторская </w:t>
      </w:r>
    </w:p>
    <w:p w:rsidR="002133F3" w:rsidRPr="0026104A" w:rsidRDefault="002133F3" w:rsidP="002133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be-BY" w:eastAsia="ru-RU"/>
        </w:rPr>
      </w:pPr>
      <w:r w:rsidRPr="0026104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be-BY" w:eastAsia="ru-RU"/>
        </w:rPr>
        <w:t>языковая стратегия</w:t>
      </w:r>
    </w:p>
    <w:p w:rsidR="002133F3" w:rsidRPr="0026104A" w:rsidRDefault="002133F3" w:rsidP="002133F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</w:p>
    <w:p w:rsidR="002133F3" w:rsidRPr="0026104A" w:rsidRDefault="002133F3" w:rsidP="002133F3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А.А. Бидная</w:t>
      </w:r>
    </w:p>
    <w:p w:rsidR="002133F3" w:rsidRPr="0026104A" w:rsidRDefault="002133F3" w:rsidP="002133F3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Гродненский государственный университет им. Я. Купалы</w:t>
      </w:r>
      <w:r w:rsidRPr="002610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</w:t>
      </w:r>
    </w:p>
    <w:p w:rsidR="002133F3" w:rsidRPr="0026104A" w:rsidRDefault="002133F3" w:rsidP="002133F3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33F3" w:rsidRPr="0026104A" w:rsidRDefault="002133F3" w:rsidP="002133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Явление языкового билингвизма уже достаточно хорошо изучено в лингвистике, оно имеет четкую дефиницию и развернутую схему классификации. </w:t>
      </w:r>
      <w:proofErr w:type="gramStart"/>
      <w:r w:rsidRPr="0026104A">
        <w:rPr>
          <w:rFonts w:ascii="Times New Roman" w:eastAsia="Calibri" w:hAnsi="Times New Roman" w:cs="Times New Roman"/>
          <w:sz w:val="28"/>
          <w:szCs w:val="28"/>
        </w:rPr>
        <w:t>Под «двуязычием», или «билингвизмом», принято понимать способность владения двумя языками, сам термин «</w:t>
      </w:r>
      <w:r w:rsidRPr="0026104A">
        <w:rPr>
          <w:rFonts w:ascii="Times New Roman" w:eastAsia="Calibri" w:hAnsi="Times New Roman" w:cs="Times New Roman"/>
          <w:i/>
          <w:iCs/>
          <w:sz w:val="28"/>
          <w:szCs w:val="28"/>
        </w:rPr>
        <w:t>билингвизм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» происходит от латинских: bi – «двойной» и lingua – «язык» </w:t>
      </w:r>
      <w:bookmarkStart w:id="0" w:name="r2_1"/>
      <w:r w:rsidRPr="0026104A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26104A">
        <w:rPr>
          <w:rFonts w:ascii="Times New Roman" w:eastAsia="Calibri" w:hAnsi="Times New Roman" w:cs="Times New Roman"/>
          <w:sz w:val="28"/>
          <w:szCs w:val="28"/>
        </w:rPr>
        <w:instrText xml:space="preserve"> HYPERLINK "http://www.lomonosov-fund.ru/enc/ru/encyclopedia:0127453:article" \l "r2" </w:instrText>
      </w:r>
      <w:r w:rsidRPr="0026104A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26104A">
        <w:rPr>
          <w:rFonts w:ascii="Times New Roman" w:eastAsia="Calibri" w:hAnsi="Times New Roman" w:cs="Times New Roman"/>
          <w:sz w:val="28"/>
          <w:szCs w:val="28"/>
          <w:u w:val="single"/>
        </w:rPr>
        <w:t>[3]</w:t>
      </w:r>
      <w:r w:rsidRPr="0026104A">
        <w:rPr>
          <w:rFonts w:ascii="Times New Roman" w:eastAsia="Calibri" w:hAnsi="Times New Roman" w:cs="Times New Roman"/>
          <w:sz w:val="28"/>
          <w:szCs w:val="28"/>
        </w:rPr>
        <w:fldChar w:fldCharType="end"/>
      </w:r>
      <w:bookmarkEnd w:id="0"/>
      <w:r w:rsidRPr="0026104A">
        <w:rPr>
          <w:rFonts w:ascii="Times New Roman" w:eastAsia="Calibri" w:hAnsi="Times New Roman" w:cs="Times New Roman"/>
          <w:sz w:val="28"/>
          <w:szCs w:val="28"/>
        </w:rPr>
        <w:t>. Двуязычие художественного текста менее изучено.</w:t>
      </w:r>
      <w:proofErr w:type="gram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Как известно, знание языка может быть сознательным и бессознательным. На родном языке мы говорим обычно совершенно бессознательно, мы разговариваем для сообщения наших мыслей и чувств собеседнику и думаем, конечно, об этих последних, а не о языке, который является лишь орудием общения. Однако уже когда мы употребляем собственный литературный язык, мы вынуждены думать об этом орудии, выбирая наиболее подходящие слова и обороты для выражения наших мыслей. В двуязычии же сам факт постоянного чередования двух языковых форм все время побуждает к сравнению, следовательно, и к большему осознанию их значения [2]. </w:t>
      </w:r>
    </w:p>
    <w:p w:rsidR="002133F3" w:rsidRPr="0026104A" w:rsidRDefault="002133F3" w:rsidP="002133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Использование двух языков в одном произведении, как правило, является сознательной авторской стратегией, рассчитанной на достижение определенных поставленных перед ним целей. Двуязычных текстов в истории литературы Беларуси достаточное количество, </w:t>
      </w:r>
      <w:proofErr w:type="gramStart"/>
      <w:r w:rsidRPr="0026104A">
        <w:rPr>
          <w:rFonts w:ascii="Times New Roman" w:eastAsia="Calibri" w:hAnsi="Times New Roman" w:cs="Times New Roman"/>
          <w:sz w:val="28"/>
          <w:szCs w:val="28"/>
        </w:rPr>
        <w:t>однако</w:t>
      </w:r>
      <w:proofErr w:type="gram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именно в силу того, что они написаны на нескольких языках, исследователи мало обращали внимание на такое их специфическое языковое бытие. Сравнительно недавно переход с одного языка на другой в рамках одного сочинения, который, как правило, является семантически мотивированным, стал привлекать внимание исследователей. </w:t>
      </w:r>
      <w:proofErr w:type="gramStart"/>
      <w:r w:rsidRPr="0026104A">
        <w:rPr>
          <w:rFonts w:ascii="Times New Roman" w:eastAsia="Calibri" w:hAnsi="Times New Roman" w:cs="Times New Roman"/>
          <w:sz w:val="28"/>
          <w:szCs w:val="28"/>
        </w:rPr>
        <w:t>Анализу механизмов перехода с польского на латинский язык в памятниках Речи Посполитой посвящены статьи Ежи и Анны Аксер [4, 5], а также А.А.  Бидной  [1].</w:t>
      </w:r>
      <w:proofErr w:type="gram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Двуязычное сочинение, несомненно, рассчитано на группу людей владеющих обоими языками, как доказала  А. Аксер, использование латинского языка в польском тексте, всегда рассчитано на круг интеллектуальной элиты, способной не только понять саму латынь, но и дешифровать культурный контекст латинского текста. Польская ученая предлагает рассматривать латинские вставки как «специфический код, распознание и понимание которого свидетельствовало о принадлежности к современной элите» [5, с. 159].</w:t>
      </w:r>
    </w:p>
    <w:p w:rsidR="002133F3" w:rsidRPr="0026104A" w:rsidRDefault="002133F3" w:rsidP="002133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Для языковой ситуации Великого княжества литовского и в дальнейшем Речи Посполитой  уже с начала XV века был характерен полилингвизм, а именно сосуществование нескольких языковых систем, часто имеющих различные сферы употребления. В подобной языковой </w:t>
      </w:r>
      <w:r w:rsidRPr="0026104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ситуации, несомненно, должны были появляться сочинения, написанные на нескольких языках. Одним из таких произведений  середины XVI  века стало анонимное сочинение – «Разговор Поляка с Литвином» (далее – «Разговор») [7]. Данное произведение создавалось во время оживленных общественных дискуссий  по поводу принятия государственной унии ВКЛ с Короной Польской, оно стало ответом со стороны белорусско-литовских патриотически настроенных общественных кругов на притязания поляков и стремления их к инкорпорации ВКЛ. Выразителем </w:t>
      </w:r>
      <w:proofErr w:type="gramStart"/>
      <w:r w:rsidRPr="0026104A">
        <w:rPr>
          <w:rFonts w:ascii="Times New Roman" w:eastAsia="Calibri" w:hAnsi="Times New Roman" w:cs="Times New Roman"/>
          <w:sz w:val="28"/>
          <w:szCs w:val="28"/>
        </w:rPr>
        <w:t>идеи превосходства польского государственного строя стали произведения Станислава</w:t>
      </w:r>
      <w:proofErr w:type="gram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Ожеховского «Диалог, или Разговор об Избрании Короны Польской» [6] и «Quincunx, </w:t>
      </w:r>
      <w:r w:rsidRPr="0026104A">
        <w:rPr>
          <w:rFonts w:ascii="Times New Roman" w:eastAsia="Calibri" w:hAnsi="Times New Roman" w:cs="Times New Roman"/>
          <w:sz w:val="28"/>
          <w:szCs w:val="28"/>
          <w:lang w:val="be-BY"/>
        </w:rPr>
        <w:t>то есть Образец Короны Польской</w:t>
      </w:r>
      <w:r w:rsidRPr="0026104A">
        <w:rPr>
          <w:rFonts w:ascii="Times New Roman" w:eastAsia="Calibri" w:hAnsi="Times New Roman" w:cs="Times New Roman"/>
          <w:sz w:val="28"/>
          <w:szCs w:val="28"/>
        </w:rPr>
        <w:t>»</w:t>
      </w:r>
      <w:r w:rsidRPr="0026104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[8], прямым ответом на которые и стал «Разговор». Данные сочинения </w:t>
      </w:r>
      <w:r w:rsidRPr="0026104A">
        <w:rPr>
          <w:rFonts w:ascii="Times New Roman" w:eastAsia="Calibri" w:hAnsi="Times New Roman" w:cs="Times New Roman"/>
          <w:sz w:val="28"/>
          <w:szCs w:val="28"/>
          <w:lang w:val="be-BY"/>
        </w:rPr>
        <w:t>нап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исаны на польском языке с многочисленными латиноязычными вставками, поэтому и литературный оппонент избирает подобную языковую форму для своего произведения. Отметим, что подобное двуязычие более характерно публицистическим или эпистолярным жанрам, в силу того, что использование «второго»  языка в тексте привлекает и сосредотачивает внимание слушателя или читателя на определенных, необходимых автору дискуссионных моментах. Реципиент подобного текста принуждается к повышенному вниманию, когда текст, который он слушает или читает, в определенном месте изменяет язык, в </w:t>
      </w:r>
      <w:proofErr w:type="gramStart"/>
      <w:r w:rsidRPr="0026104A">
        <w:rPr>
          <w:rFonts w:ascii="Times New Roman" w:eastAsia="Calibri" w:hAnsi="Times New Roman" w:cs="Times New Roman"/>
          <w:sz w:val="28"/>
          <w:szCs w:val="28"/>
        </w:rPr>
        <w:t>особенности</w:t>
      </w:r>
      <w:proofErr w:type="gram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если это язык неблизкородственный, как в случае вышеупомянутых произведений.</w:t>
      </w:r>
    </w:p>
    <w:p w:rsidR="002133F3" w:rsidRPr="0026104A" w:rsidRDefault="002133F3" w:rsidP="002133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Проанализируем несколько примеров латиноязычных вставок в текст «Разговора» и их влияние на понимание данного текста.  Композиционно «Разговор» строится на опровержении всех доводов, выдвинутых в сочинениях Ожеховского. Одной из ключевых тем разговора между Поляком и Литвином является обсуждение, что есть свобода и рабство, эти понятия в тексте в основном встречаются на польском языке: «swoboda» / «wolność», «niewola», но в то же время в тексте есть их латинские соответствия: «libertas», «servitus».  Впервые, где автор употребляет латинские термины, это место, где он говорит, что его оппонент (Ожеховский) эти термины неправильно понимает и употребляет [7, c. 19, 25]. </w:t>
      </w:r>
      <w:proofErr w:type="gramStart"/>
      <w:r w:rsidRPr="0026104A">
        <w:rPr>
          <w:rFonts w:ascii="Times New Roman" w:eastAsia="Calibri" w:hAnsi="Times New Roman" w:cs="Times New Roman"/>
          <w:sz w:val="28"/>
          <w:szCs w:val="28"/>
        </w:rPr>
        <w:t>Далее автор «Разговора» снова переходит на латинский для объяснения того, что же необходимо понимать под свободой, и в этом отрывке он цитирует  авторитетное в данном вопросе мнение Цицерона, приводя обширную цитату из его произведения «Парадоксы стоиков»  (Cic.</w:t>
      </w:r>
      <w:proofErr w:type="gram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6104A">
        <w:rPr>
          <w:rFonts w:ascii="Times New Roman" w:eastAsia="Calibri" w:hAnsi="Times New Roman" w:cs="Times New Roman"/>
          <w:sz w:val="28"/>
          <w:szCs w:val="28"/>
        </w:rPr>
        <w:t>Paradoxa, V, 34).</w:t>
      </w:r>
      <w:proofErr w:type="gram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6104A">
        <w:rPr>
          <w:rFonts w:ascii="Times New Roman" w:eastAsia="Calibri" w:hAnsi="Times New Roman" w:cs="Times New Roman"/>
          <w:sz w:val="28"/>
          <w:szCs w:val="28"/>
        </w:rPr>
        <w:t>Следуя далее по тексту, встречаем слово  на латинском alias - «иначе», и с этого момента идет объяснение, что автор понимает под «рабством» или «неволей», снова приводится цитата из авторитетного источника – «Писем» Горация (Hor.</w:t>
      </w:r>
      <w:proofErr w:type="gram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Epist. </w:t>
      </w:r>
      <w:proofErr w:type="gramStart"/>
      <w:r w:rsidRPr="0026104A">
        <w:rPr>
          <w:rFonts w:ascii="Times New Roman" w:eastAsia="Calibri" w:hAnsi="Times New Roman" w:cs="Times New Roman"/>
          <w:sz w:val="28"/>
          <w:szCs w:val="28"/>
        </w:rPr>
        <w:t>I, 10, 47 – 48).</w:t>
      </w:r>
      <w:proofErr w:type="gram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Таким образом, латинский язык выстраивает алгоритм  понимания ключевых моментов авторской позиции, а именно свободы и рабство Ожеховский понимает неверно, а следует понимать, как сам автор, подкрепляемый авторитетным мнением  Цицерона, иначе – рабство, и снова авторские слова подкреплены авторитетом Горация. </w:t>
      </w:r>
    </w:p>
    <w:p w:rsidR="002133F3" w:rsidRPr="0026104A" w:rsidRDefault="002133F3" w:rsidP="002133F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Повсеместно в тексте на латинском цитируются произведения античных авторов и современные автору произведения.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достаточно небольшом отрывке, посвященном вопросу, что есть  знать (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nobilitas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generis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автор приводит цитату из диалога Платона «Алкивиад» (Платон, Алкивиад 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120 – 121): «значит, более лучшие натуры у благороднорожденных, чем низкорожденных, а если они к тому же и достойно образованы, то достигнут добродетели» [7, 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61]. Весь отрывок стилистически и структурно строится по образцу этого диалога: слова Сократа проецируются на Литвина, а Алкивиада – на Поляка, таким образом, читатель уже изначально соглашается с мнением Литвина. В дальнейших рассуждениях о зависимости добродетели от благородного происхождения Поляк приводит слова «одного поэта», за которым скрывается известный римский поэт Овидий, а цитируется не менее известное произведение «Метаморфозы» (Овидий, Метаморфозы, 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XIII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140 – 141): «Род, и предков, и все, чего мы не сами достигли, Собственным не назову…» [7, 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62]. Эти слова произносит Одиссей в споре за доспехи Ахилла, однако весь предыдущий текст является перечислением этих самых предков, и что он сам является прямым потомком Юпитера. Таким образом, получается, что доблесть все же зависит от благородного происхождения, к подобному мнению приходит в конце и Поляк. Как видим, что не сама цитата, а ее контекст необходим для правильной интерпретации данного отрывка.</w:t>
      </w:r>
    </w:p>
    <w:p w:rsidR="002133F3" w:rsidRPr="0026104A" w:rsidRDefault="002133F3" w:rsidP="002133F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>Как известно, реализация определенных общественно-политических целей в то время во многом зависела от ораторского искусства и умения политического деятеля склонить своей речью большинство слушателей на свою сторону. Поэтому выбор определенной языковой стратегии был обусловлен идейным содержанием публицистического текста. Смешанная речь и в частности латиноязычные вставки в тексте «Разговора» выполняли определенные функции, связанные как с композицией, так и с концептуальной направленностью данного текста.</w:t>
      </w:r>
    </w:p>
    <w:p w:rsidR="002133F3" w:rsidRPr="0026104A" w:rsidRDefault="002133F3" w:rsidP="002133F3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>Бидная, А.А. Проблемы перевода и комментирования двуязычного текста (на материале полемического сочинения середины XVI века «Разговор Поляка с Литвином») / А.А. Бидная // Studia Linguistica. – Vol. VIII. – 2014. – C. 260 – 265.</w:t>
      </w:r>
    </w:p>
    <w:p w:rsidR="002133F3" w:rsidRPr="0026104A" w:rsidRDefault="002133F3" w:rsidP="002133F3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>Щерба, Л.В. О понятии смешения языков /</w:t>
      </w:r>
      <w:r w:rsidRPr="002610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6104A">
        <w:rPr>
          <w:rFonts w:ascii="Times New Roman" w:eastAsia="Calibri" w:hAnsi="Times New Roman" w:cs="Times New Roman"/>
          <w:sz w:val="28"/>
          <w:szCs w:val="28"/>
        </w:rPr>
        <w:t>Л.В. Щерба // Языковая система и речевая деятельность. – Л., 1974. – С. 60 – 74. [Электронный ресурс]. – Режим доступа: http://www.philology.ru/linguistics1/shcherba-74b.htm</w:t>
      </w:r>
    </w:p>
    <w:p w:rsidR="002133F3" w:rsidRPr="0026104A" w:rsidRDefault="002133F3" w:rsidP="002133F3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Энциклопедия фонда знаний «Ломоносов» / </w:t>
      </w:r>
      <w:r w:rsidRPr="0026104A">
        <w:rPr>
          <w:rFonts w:ascii="Times New Roman" w:eastAsia="Calibri" w:hAnsi="Times New Roman" w:cs="Times New Roman"/>
          <w:sz w:val="28"/>
          <w:szCs w:val="28"/>
          <w:lang w:val="pl-PL"/>
        </w:rPr>
        <w:t>[</w:t>
      </w:r>
      <w:r w:rsidRPr="0026104A">
        <w:rPr>
          <w:rFonts w:ascii="Times New Roman" w:eastAsia="Calibri" w:hAnsi="Times New Roman" w:cs="Times New Roman"/>
          <w:sz w:val="28"/>
          <w:szCs w:val="28"/>
        </w:rPr>
        <w:t>Электронный</w:t>
      </w:r>
      <w:r w:rsidRPr="0026104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</w:t>
      </w:r>
      <w:r w:rsidRPr="0026104A">
        <w:rPr>
          <w:rFonts w:ascii="Times New Roman" w:eastAsia="Calibri" w:hAnsi="Times New Roman" w:cs="Times New Roman"/>
          <w:sz w:val="28"/>
          <w:szCs w:val="28"/>
        </w:rPr>
        <w:t>ресурс</w:t>
      </w:r>
      <w:r w:rsidRPr="0026104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]. </w:t>
      </w:r>
      <w:r w:rsidRPr="0026104A">
        <w:rPr>
          <w:rFonts w:ascii="Times New Roman" w:eastAsia="Calibri" w:hAnsi="Times New Roman" w:cs="Times New Roman"/>
          <w:sz w:val="28"/>
          <w:szCs w:val="28"/>
        </w:rPr>
        <w:t>– Режим доступа: http://www.lomonosov-fund.ru/enc/ru/encyclopedia:0127453:article</w:t>
      </w:r>
    </w:p>
    <w:p w:rsidR="002133F3" w:rsidRPr="0026104A" w:rsidRDefault="002133F3" w:rsidP="002133F3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  <w:lang w:val="pl-PL"/>
        </w:rPr>
      </w:pPr>
      <w:r w:rsidRPr="0026104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Axer, J. Problemy kompozycji makaronicznej. Klasyczna tradycja litercka w tekście dwujęzycznym / J. Axer // Jan Kochanowski 1584 – 1984. Epoka </w:t>
      </w:r>
      <w:r w:rsidRPr="0026104A">
        <w:rPr>
          <w:rFonts w:ascii="Times New Roman" w:eastAsia="Calibri" w:hAnsi="Times New Roman" w:cs="Times New Roman"/>
          <w:sz w:val="28"/>
          <w:szCs w:val="28"/>
        </w:rPr>
        <w:t>–</w:t>
      </w:r>
      <w:r w:rsidRPr="0026104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twórczość </w:t>
      </w:r>
      <w:r w:rsidRPr="0026104A">
        <w:rPr>
          <w:rFonts w:ascii="Times New Roman" w:eastAsia="Calibri" w:hAnsi="Times New Roman" w:cs="Times New Roman"/>
          <w:sz w:val="28"/>
          <w:szCs w:val="28"/>
        </w:rPr>
        <w:t>–</w:t>
      </w:r>
      <w:r w:rsidRPr="0026104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recepcja. </w:t>
      </w:r>
      <w:r w:rsidRPr="0026104A">
        <w:rPr>
          <w:rFonts w:ascii="Times New Roman" w:eastAsia="Calibri" w:hAnsi="Times New Roman" w:cs="Times New Roman"/>
          <w:sz w:val="28"/>
          <w:szCs w:val="28"/>
        </w:rPr>
        <w:t>–</w:t>
      </w:r>
      <w:r w:rsidRPr="0026104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Lublin, 1989. </w:t>
      </w:r>
      <w:r w:rsidRPr="0026104A">
        <w:rPr>
          <w:rFonts w:ascii="Times New Roman" w:eastAsia="Calibri" w:hAnsi="Times New Roman" w:cs="Times New Roman"/>
          <w:sz w:val="28"/>
          <w:szCs w:val="28"/>
        </w:rPr>
        <w:t>–</w:t>
      </w:r>
      <w:r w:rsidRPr="0026104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T. I. </w:t>
      </w:r>
      <w:r w:rsidRPr="0026104A">
        <w:rPr>
          <w:rFonts w:ascii="Times New Roman" w:eastAsia="Calibri" w:hAnsi="Times New Roman" w:cs="Times New Roman"/>
          <w:sz w:val="28"/>
          <w:szCs w:val="28"/>
        </w:rPr>
        <w:t>–</w:t>
      </w:r>
      <w:r w:rsidRPr="0026104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S. 203 </w:t>
      </w:r>
      <w:r w:rsidRPr="0026104A">
        <w:rPr>
          <w:rFonts w:ascii="Times New Roman" w:eastAsia="Calibri" w:hAnsi="Times New Roman" w:cs="Times New Roman"/>
          <w:sz w:val="28"/>
          <w:szCs w:val="28"/>
        </w:rPr>
        <w:t>–</w:t>
      </w:r>
      <w:r w:rsidRPr="0026104A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217</w:t>
      </w:r>
      <w:r w:rsidRPr="002610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33F3" w:rsidRPr="0026104A" w:rsidRDefault="002133F3" w:rsidP="002133F3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lastRenderedPageBreak/>
        <w:t>Axerowa, A. Próba klasyfikacji wtrętów łacińskojęzycznych w staropolskich tekstach / A. Axerowa // Łacina jako język elit pod red. J. Axer. – Warszawa, 2004. – S. 157 – 160.</w:t>
      </w:r>
    </w:p>
    <w:p w:rsidR="002133F3" w:rsidRPr="0026104A" w:rsidRDefault="002133F3" w:rsidP="002133F3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Theme="minorEastAsia" w:hAnsi="Times New Roman" w:cs="Times New Roman"/>
          <w:sz w:val="28"/>
          <w:szCs w:val="28"/>
          <w:lang w:val="pl-PL" w:eastAsia="ru-RU"/>
        </w:rPr>
      </w:pPr>
      <w:r w:rsidRPr="0026104A">
        <w:rPr>
          <w:rFonts w:ascii="Times New Roman" w:eastAsiaTheme="minorEastAsia" w:hAnsi="Times New Roman" w:cs="Times New Roman"/>
          <w:iCs/>
          <w:sz w:val="28"/>
          <w:szCs w:val="28"/>
          <w:lang w:val="pl-PL" w:eastAsia="ru-RU"/>
        </w:rPr>
        <w:t xml:space="preserve">Dyalog albo Rozmowa około Exequucyey Polskiey Korony / 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pl-PL" w:eastAsia="ru-RU"/>
        </w:rPr>
        <w:t> [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Электронный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pl-PL"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ресурс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pl-PL" w:eastAsia="ru-RU"/>
        </w:rPr>
        <w:t xml:space="preserve">]. –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Режим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pl-PL"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доступа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pl-PL" w:eastAsia="ru-RU"/>
        </w:rPr>
        <w:t xml:space="preserve">: http://www.dbc.wroc.pl/dlibra/doccontent?id=3485 </w:t>
      </w:r>
    </w:p>
    <w:p w:rsidR="002133F3" w:rsidRPr="0026104A" w:rsidRDefault="002133F3" w:rsidP="002133F3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Rozmowa Polaka z Litwinem, 1564 // Biblioteka pisarzów polskich wyd. Dr.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J. Korzeniowski. – Kraków, 1890. – 91s.</w:t>
      </w:r>
    </w:p>
    <w:p w:rsidR="002133F3" w:rsidRPr="0026104A" w:rsidRDefault="002133F3" w:rsidP="002133F3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Theme="minorEastAsia" w:hAnsi="Times New Roman" w:cs="Times New Roman"/>
          <w:sz w:val="28"/>
          <w:szCs w:val="28"/>
          <w:lang w:val="pl-PL" w:eastAsia="ru-RU"/>
        </w:rPr>
      </w:pPr>
      <w:r w:rsidRPr="0026104A">
        <w:rPr>
          <w:rFonts w:ascii="Times New Roman" w:eastAsiaTheme="minorEastAsia" w:hAnsi="Times New Roman" w:cs="Times New Roman"/>
          <w:iCs/>
          <w:sz w:val="28"/>
          <w:szCs w:val="28"/>
          <w:lang w:val="pl-PL" w:eastAsia="ru-RU"/>
        </w:rPr>
        <w:t>Quincunx to jest Wzór Korony Polskiej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pl-PL" w:eastAsia="ru-RU"/>
        </w:rPr>
        <w:t> na cynku wystawiony przez Stanislawa Orzechowskiego do Warszawy roku 1564 poslany / [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Электронный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pl-PL"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ресурс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pl-PL" w:eastAsia="ru-RU"/>
        </w:rPr>
        <w:t xml:space="preserve">]. –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Режим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pl-PL"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доступа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pl-PL" w:eastAsia="ru-RU"/>
        </w:rPr>
        <w:t>: http://polona.pl/item/11681915/9/</w:t>
      </w:r>
    </w:p>
    <w:p w:rsidR="00A8289B" w:rsidRPr="002133F3" w:rsidRDefault="00A8289B">
      <w:pPr>
        <w:rPr>
          <w:lang w:val="pl-PL"/>
        </w:rPr>
      </w:pPr>
      <w:bookmarkStart w:id="1" w:name="_GoBack"/>
      <w:bookmarkEnd w:id="1"/>
    </w:p>
    <w:sectPr w:rsidR="00A8289B" w:rsidRPr="00213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6E41"/>
    <w:multiLevelType w:val="hybridMultilevel"/>
    <w:tmpl w:val="765C1964"/>
    <w:lvl w:ilvl="0" w:tplc="578E3B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56"/>
    <w:rsid w:val="00033A9F"/>
    <w:rsid w:val="002133F3"/>
    <w:rsid w:val="00A8289B"/>
    <w:rsid w:val="00B9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1344</Words>
  <Characters>7667</Characters>
  <Application>Microsoft Office Word</Application>
  <DocSecurity>0</DocSecurity>
  <Lines>63</Lines>
  <Paragraphs>17</Paragraphs>
  <ScaleCrop>false</ScaleCrop>
  <Company/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2016-03-11T12:35:00Z</dcterms:created>
  <dcterms:modified xsi:type="dcterms:W3CDTF">2016-03-11T12:35:00Z</dcterms:modified>
</cp:coreProperties>
</file>