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0E4DF0" w:rsidRPr="000E4DF0" w:rsidRDefault="000E4DF0" w:rsidP="000E4DF0">
      <w:pPr>
        <w:autoSpaceDE w:val="0"/>
        <w:autoSpaceDN w:val="0"/>
        <w:adjustRightInd w:val="0"/>
        <w:spacing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DF0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0E4DF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ПРАГМАЛИНГВИСТИЧЕСКИЕ ХАРАКТЕРИСТИКИ КАТЕГОРИИ ОЦЕНКИ В ПОЛИТИЧЕСКОМ ДИСКУРСЕ</w:t>
      </w:r>
      <w:bookmarkEnd w:id="0"/>
      <w:r w:rsidRPr="000E4DF0">
        <w:rPr>
          <w:rFonts w:ascii="Times New Roman" w:hAnsi="Times New Roman" w:cs="Times New Roman"/>
          <w:sz w:val="28"/>
          <w:szCs w:val="28"/>
        </w:rPr>
        <w:t>»</w:t>
      </w: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 w:rsidP="000E4DF0">
      <w:pPr>
        <w:autoSpaceDE w:val="0"/>
        <w:autoSpaceDN w:val="0"/>
        <w:adjustRightInd w:val="0"/>
        <w:spacing w:after="0" w:line="380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4D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ГРИЩУК</w:t>
      </w:r>
    </w:p>
    <w:p w:rsidR="000E4DF0" w:rsidRPr="000E4DF0" w:rsidRDefault="000E4DF0" w:rsidP="000E4DF0">
      <w:pPr>
        <w:autoSpaceDE w:val="0"/>
        <w:autoSpaceDN w:val="0"/>
        <w:adjustRightInd w:val="0"/>
        <w:spacing w:after="0" w:line="380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4D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Юлия Александровна</w:t>
      </w: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4DF0" w:rsidTr="000E4DF0">
        <w:tc>
          <w:tcPr>
            <w:tcW w:w="4785" w:type="dxa"/>
          </w:tcPr>
          <w:p w:rsidR="000E4DF0" w:rsidRDefault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4DF0" w:rsidRDefault="000E4DF0" w:rsidP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DF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0E4DF0" w:rsidRDefault="000E4DF0" w:rsidP="000E4D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кандидат психологических наук, </w:t>
            </w:r>
          </w:p>
          <w:p w:rsidR="000E4DF0" w:rsidRDefault="000E4DF0" w:rsidP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доцент О.И.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Уланович</w:t>
            </w:r>
            <w:proofErr w:type="spellEnd"/>
          </w:p>
        </w:tc>
      </w:tr>
    </w:tbl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3A1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DF0" w:rsidRPr="0048569A" w:rsidRDefault="000E4DF0" w:rsidP="000E4DF0">
      <w:pPr>
        <w:tabs>
          <w:tab w:val="left" w:pos="0"/>
          <w:tab w:val="left" w:pos="360"/>
          <w:tab w:val="left" w:pos="426"/>
        </w:tabs>
        <w:autoSpaceDE w:val="0"/>
        <w:autoSpaceDN w:val="0"/>
        <w:adjustRightInd w:val="0"/>
        <w:spacing w:line="360" w:lineRule="exact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РЕФЕРАТ</w:t>
      </w:r>
    </w:p>
    <w:p w:rsidR="000E4DF0" w:rsidRPr="000E4DF0" w:rsidRDefault="000E4DF0" w:rsidP="000E4DF0">
      <w:pPr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Дипломная работа 71 стр., 3 главы, 49 источников, 3 приложения.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0E4DF0">
        <w:rPr>
          <w:rFonts w:ascii="Times New Roman" w:hAnsi="Times New Roman" w:cs="Times New Roman"/>
          <w:bCs/>
          <w:sz w:val="28"/>
          <w:szCs w:val="28"/>
        </w:rPr>
        <w:t>ДИСКУРС,</w:t>
      </w: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ПОЛИТИЧЕСКИЙ ДИСКУРС, ОЦЕНОЧНОСТЬ, АНТРОПОЦЕНТРИЧНОСТЬ, МНОГОАСПЕКТНОСТЬ ОЦЕНКИ, ПОНЯТИЕ ЦЕННОСТИ, СРЕДСТВА ВЫРАЖЕНИЯ ОЦЕНОЧНОСТИ, ОЦЕНОЧНЫЕ СУЖДЕНИЯ / ВЫРАЖЕНИЯ, СМЫСЛОВОЕ РАЗВЁРТЫВАНИЕ ОЦЕНОЧНЫХ СУЖДЕНИЙ. 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4DF0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0E4DF0">
        <w:rPr>
          <w:rFonts w:ascii="Times New Roman" w:hAnsi="Times New Roman" w:cs="Times New Roman"/>
          <w:sz w:val="28"/>
          <w:szCs w:val="28"/>
        </w:rPr>
        <w:t xml:space="preserve">исследования – политический дискурс: особенности, функции, стратегии политического общения. </w:t>
      </w:r>
    </w:p>
    <w:p w:rsidR="000E4DF0" w:rsidRPr="000E4DF0" w:rsidRDefault="000E4DF0" w:rsidP="000E4DF0">
      <w:pPr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F0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0E4DF0">
        <w:rPr>
          <w:rFonts w:ascii="Times New Roman" w:hAnsi="Times New Roman" w:cs="Times New Roman"/>
          <w:sz w:val="28"/>
          <w:szCs w:val="28"/>
        </w:rPr>
        <w:t>исследования – выявление и систематизация средств экспликации оценки в политическом дискурсе</w:t>
      </w:r>
      <w:r w:rsidRPr="000E4D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4DF0" w:rsidRPr="000E4DF0" w:rsidRDefault="000E4DF0" w:rsidP="000E4DF0">
      <w:pPr>
        <w:tabs>
          <w:tab w:val="left" w:pos="0"/>
        </w:tabs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  <w:r w:rsidRPr="000E4DF0">
        <w:rPr>
          <w:rFonts w:ascii="Times New Roman" w:hAnsi="Times New Roman" w:cs="Times New Roman"/>
          <w:sz w:val="28"/>
          <w:szCs w:val="28"/>
        </w:rPr>
        <w:t xml:space="preserve">контекстуально-семантический анализ, метод </w:t>
      </w:r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классификации, метод статистического анализа данных, диахронический анализ, сравнительно-сопоставительный метод, метод направленной выборки. 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Полученные результаты и их новизна. </w:t>
      </w:r>
      <w:r w:rsidRPr="000E4DF0">
        <w:rPr>
          <w:rFonts w:ascii="Times New Roman" w:hAnsi="Times New Roman" w:cs="Times New Roman"/>
          <w:sz w:val="28"/>
          <w:szCs w:val="28"/>
        </w:rPr>
        <w:t xml:space="preserve">Определены основные средства выражения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оценочности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в публичных выступлениях политиков: 1) оценочное суждение и 2) оценочное выражение. На основе классификации логической категории суждения были выделены следующие типы оценочных суждений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в политическом дискурсе</w:t>
      </w:r>
      <w:r w:rsidRPr="000E4DF0">
        <w:rPr>
          <w:rFonts w:ascii="Times New Roman" w:hAnsi="Times New Roman" w:cs="Times New Roman"/>
          <w:sz w:val="28"/>
          <w:szCs w:val="28"/>
        </w:rPr>
        <w:t xml:space="preserve">: проблематические, ассерторические и аподиктические. Предложены определения установленных типов оценочных суждений в контексте политической коммуникации. 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полное типологическое сходство выявленных нами оценочных суждений в обеих политических речах, привлеченных в качестве экспериментального материала, </w:t>
      </w:r>
      <w:proofErr w:type="spellStart"/>
      <w:r w:rsidRPr="000E4DF0">
        <w:rPr>
          <w:rFonts w:ascii="Times New Roman" w:hAnsi="Times New Roman" w:cs="Times New Roman"/>
          <w:color w:val="000000"/>
          <w:sz w:val="28"/>
          <w:szCs w:val="28"/>
        </w:rPr>
        <w:t>валидизирует</w:t>
      </w:r>
      <w:proofErr w:type="spellEnd"/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предложенную нами классификацию оценочных суждений, выступает подтверждением ее универсальности, объективности и достоверности, в том числе в контексте диахронического анализа, а также доказывает ее высокий объяснительный и интерпретационный потенциал.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F0">
        <w:rPr>
          <w:rFonts w:ascii="Times New Roman" w:hAnsi="Times New Roman" w:cs="Times New Roman"/>
          <w:i/>
          <w:sz w:val="28"/>
          <w:szCs w:val="28"/>
        </w:rPr>
        <w:t>Новизна</w:t>
      </w:r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данного исследования состоит в систематизации </w:t>
      </w:r>
      <w:proofErr w:type="spellStart"/>
      <w:r w:rsidRPr="000E4DF0">
        <w:rPr>
          <w:rFonts w:ascii="Times New Roman" w:hAnsi="Times New Roman" w:cs="Times New Roman"/>
          <w:color w:val="000000"/>
          <w:sz w:val="28"/>
          <w:szCs w:val="28"/>
        </w:rPr>
        <w:t>прагмалингвистических</w:t>
      </w:r>
      <w:proofErr w:type="spellEnd"/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 оценочных высказываний, не нашедших своё отражение в традиционных классификациях.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исследования и область применения. </w:t>
      </w:r>
      <w:r w:rsidRPr="000E4DF0"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найти применение в научно-исследовательской деятельности для дальнейшей разработки типологических классификаций категории языковой оценки; в учебном процессе для подготовки специалистов соответствующих специальностей лингвистического профиля; при разработке лекционного материала по некоторым учебным дисциплинам; при подготовке учебно-методических пособий. Настоящая работа является самостоятельным исследованием, достоверность результатов которого подтверждается научно обоснованной методикой исследования. </w:t>
      </w:r>
    </w:p>
    <w:p w:rsidR="000E4DF0" w:rsidRPr="000E4DF0" w:rsidRDefault="000E4DF0" w:rsidP="000E4DF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0E4D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РЭФЕРАТ</w:t>
      </w:r>
    </w:p>
    <w:p w:rsidR="000E4DF0" w:rsidRPr="000E4DF0" w:rsidRDefault="000E4DF0" w:rsidP="000E4DF0">
      <w:pPr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работа 71 </w:t>
      </w:r>
      <w:proofErr w:type="gramStart"/>
      <w:r w:rsidRPr="000E4DF0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0E4DF0"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, 49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E4DF0">
        <w:rPr>
          <w:rFonts w:ascii="Times New Roman" w:hAnsi="Times New Roman" w:cs="Times New Roman"/>
          <w:sz w:val="28"/>
          <w:szCs w:val="28"/>
        </w:rPr>
        <w:t>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Ключавыя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словы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ПАЛІТЫЧНЫ ДЫСКУРС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Ц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Ь,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АНТРАПАЦЭНТРЫЧНАСЦЬ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МНОГААСПЕКТНАСТЬ АЦЭНКИ, ХАРАКТ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АЦЭНКІ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СРОДКІ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ВЫРАЖЭННЯ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ЦІ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ЧН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АЧНЫЯ СУДЖЭННІ 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/ 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ВЫРАЗЫ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СЭНСАВАЕ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РАЗГОРТВАННЕ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АЦЭНАЧНЫХ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be-BY"/>
        </w:rPr>
        <w:t>СУДЖЭННЯЎ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DF0">
        <w:rPr>
          <w:rFonts w:ascii="Times New Roman" w:hAnsi="Times New Roman" w:cs="Times New Roman"/>
          <w:b/>
          <w:sz w:val="28"/>
          <w:szCs w:val="28"/>
        </w:rPr>
        <w:t>Аб'ект</w:t>
      </w:r>
      <w:proofErr w:type="spellEnd"/>
      <w:r w:rsidRPr="000E4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0E4DF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E4DF0">
        <w:rPr>
          <w:rFonts w:ascii="Times New Roman" w:hAnsi="Times New Roman" w:cs="Times New Roman"/>
          <w:sz w:val="28"/>
          <w:szCs w:val="28"/>
        </w:rPr>
        <w:t>пал</w:t>
      </w:r>
      <w:proofErr w:type="gramStart"/>
      <w:r w:rsidRPr="000E4DF0">
        <w:rPr>
          <w:rFonts w:ascii="Times New Roman" w:hAnsi="Times New Roman" w:cs="Times New Roman"/>
          <w:sz w:val="28"/>
          <w:szCs w:val="28"/>
          <w:lang w:val="de-DE"/>
        </w:rPr>
        <w:t>i</w:t>
      </w:r>
      <w:proofErr w:type="spellStart"/>
      <w:proofErr w:type="gramEnd"/>
      <w:r w:rsidRPr="000E4DF0">
        <w:rPr>
          <w:rFonts w:ascii="Times New Roman" w:hAnsi="Times New Roman" w:cs="Times New Roman"/>
          <w:sz w:val="28"/>
          <w:szCs w:val="28"/>
        </w:rPr>
        <w:t>тычны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дыскурс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асабливасц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E4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функцы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стратэг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0E4DF0">
        <w:rPr>
          <w:rFonts w:ascii="Times New Roman" w:hAnsi="Times New Roman" w:cs="Times New Roman"/>
          <w:sz w:val="28"/>
          <w:szCs w:val="28"/>
        </w:rPr>
        <w:t xml:space="preserve"> пал</w:t>
      </w:r>
      <w:r w:rsidRPr="000E4DF0">
        <w:rPr>
          <w:rFonts w:ascii="Times New Roman" w:hAnsi="Times New Roman" w:cs="Times New Roman"/>
          <w:sz w:val="28"/>
          <w:szCs w:val="28"/>
          <w:lang w:val="de-DE"/>
        </w:rPr>
        <w:t>i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тычных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зносiн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DF0" w:rsidRPr="000E4DF0" w:rsidRDefault="000E4DF0" w:rsidP="000E4DF0">
      <w:pPr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>Мэта даследавання</w:t>
      </w:r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выяўленне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сістэматызацыя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сродкаў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эксплікацыі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ацэнкі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ў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палітычным</w:t>
      </w:r>
      <w:proofErr w:type="spellEnd"/>
      <w:r w:rsidRPr="000E4D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Cs/>
          <w:sz w:val="28"/>
          <w:szCs w:val="28"/>
        </w:rPr>
        <w:t>дыскурсе</w:t>
      </w:r>
      <w:proofErr w:type="spellEnd"/>
      <w:r w:rsidRPr="000E4D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4DF0" w:rsidRPr="000E4DF0" w:rsidRDefault="000E4DF0" w:rsidP="000E4DF0">
      <w:pPr>
        <w:tabs>
          <w:tab w:val="left" w:pos="0"/>
        </w:tabs>
        <w:autoSpaceDE w:val="0"/>
        <w:autoSpaceDN w:val="0"/>
        <w:adjustRightInd w:val="0"/>
        <w:spacing w:line="33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Метады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>кантэкстуальна-семантычны аналіз, класіфікацыя, метад статыстычнага аналізу, дыяхранічны аналіз, параўнальна-супастаўляльны аналіз</w:t>
      </w:r>
      <w:proofErr w:type="gramStart"/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,</w:t>
      </w:r>
      <w:proofErr w:type="gramEnd"/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метад накіраванай выбаркі</w:t>
      </w:r>
      <w:r w:rsidRPr="000E4D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Атрыманыя вынікі і іх навізна.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Выяўелены асноўныя сродкі выражэння ацэначнасці ў публічных выступленнях палітыкаў: </w:t>
      </w:r>
      <w:r w:rsidRPr="000E4DF0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>1) ацэначныя суджэнні і 2) ацэначныя выказванні. Абапіраючыся на класіфікацыі лагічнай катэгорыі меркавання, мы вылучылі наступныя тыпы ацэначных суджэнняў у палітычным дыскурсе: праблематычныя, ассертарычныя і ападыктычныя ацэначныя суджэнні.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DF0">
        <w:rPr>
          <w:rFonts w:ascii="Times New Roman" w:hAnsi="Times New Roman" w:cs="Times New Roman"/>
          <w:color w:val="000000"/>
          <w:sz w:val="28"/>
          <w:szCs w:val="28"/>
          <w:lang w:val="be-BY"/>
        </w:rPr>
        <w:t>Амаль поўнае тыпалагічнае падабенства выяўленых намі ацэначных суджэнняў у абедзвюх палітычных прамовах, прыцягнутых у якасці эксперыментальнага матэрыялу, валідызірует прапанаваную намі класіфікацыю ацэначных суджэнняў; выступае пацвярджэннем яе ўніверсальнасці, аб'ектыўнасці і дакладнасці, у тым ліку ў кантэксце дыяхранічнага аналізу, а таксама даказвае яе высокі тлумачальны і інтэрпрэтацыйныя патэнцыял.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DF0">
        <w:rPr>
          <w:rFonts w:ascii="Times New Roman" w:hAnsi="Times New Roman" w:cs="Times New Roman"/>
          <w:i/>
          <w:sz w:val="28"/>
          <w:szCs w:val="28"/>
          <w:lang w:val="be-BY"/>
        </w:rPr>
        <w:t>Навізна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дадзеннага дааследвання заключаецца ў сістэматызацыы прагмалінгвістычных характарыстых ацэначных выказванняў, якія не знайшлі свайго адлюстравання ў традыцыйных класіфікацыях.</w:t>
      </w:r>
    </w:p>
    <w:p w:rsidR="000E4DF0" w:rsidRPr="000E4DF0" w:rsidRDefault="000E4DF0" w:rsidP="000E4DF0">
      <w:pPr>
        <w:spacing w:line="330" w:lineRule="exact"/>
        <w:ind w:firstLine="357"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Практычная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значнасць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галіна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b/>
          <w:bCs/>
          <w:sz w:val="28"/>
          <w:szCs w:val="28"/>
        </w:rPr>
        <w:t>выкарыстання</w:t>
      </w:r>
      <w:proofErr w:type="spellEnd"/>
      <w:r w:rsidRPr="000E4D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>Вынікі даследавання могуть выкарыстоўвацца ў навукова-даследчай дзейнасці пры</w:t>
      </w:r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>дальнейшая распрацоўцы тыпалагічных класіфікацый катэгорыі моўнай ацэнкі</w:t>
      </w:r>
      <w:r w:rsidRPr="000E4DF0">
        <w:rPr>
          <w:rFonts w:ascii="Times New Roman" w:hAnsi="Times New Roman" w:cs="Times New Roman"/>
          <w:sz w:val="28"/>
          <w:szCs w:val="28"/>
        </w:rPr>
        <w:t xml:space="preserve">;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у навучальным працэсе для падрыхтоўкі спецыялістаў адпаведных спецыяльнасцяў лінгвістычнага профілю; пры распрацоўцы лекцыйнага матэрыялу </w:t>
      </w:r>
      <w:r w:rsidRPr="000E4DF0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дысцыплінах</w:t>
      </w:r>
      <w:proofErr w:type="spellEnd"/>
      <w:r w:rsidRPr="000E4D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4DF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E4DF0">
        <w:rPr>
          <w:rFonts w:ascii="Times New Roman" w:hAnsi="Times New Roman" w:cs="Times New Roman"/>
          <w:sz w:val="28"/>
          <w:szCs w:val="28"/>
        </w:rPr>
        <w:t xml:space="preserve">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>падрыхтоўцы вучэбна-метадычных дапаможнікаў</w:t>
      </w:r>
      <w:r w:rsidRPr="000E4DF0">
        <w:rPr>
          <w:rFonts w:ascii="Times New Roman" w:hAnsi="Times New Roman" w:cs="Times New Roman"/>
          <w:sz w:val="28"/>
          <w:szCs w:val="28"/>
        </w:rPr>
        <w:t>.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Дадзеная работа з’яўляецца самастойным даследаваннем, дакладнасць вын</w:t>
      </w:r>
      <w:r w:rsidRPr="000E4DF0">
        <w:rPr>
          <w:rFonts w:ascii="Times New Roman" w:hAnsi="Times New Roman" w:cs="Times New Roman"/>
          <w:sz w:val="28"/>
          <w:szCs w:val="28"/>
        </w:rPr>
        <w:t>i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>каў якога пацвярждаецца навукова абгрунтаванай методыкай даследавання</w:t>
      </w:r>
      <w:r w:rsidRPr="000E4DF0">
        <w:rPr>
          <w:rFonts w:ascii="Times New Roman" w:hAnsi="Times New Roman" w:cs="Times New Roman"/>
          <w:sz w:val="28"/>
          <w:szCs w:val="28"/>
        </w:rPr>
        <w:t xml:space="preserve"> Настоящая работа является самостоятельным исследованием, достоверность результатов которого подтверждается научно обоснованной методикой исследования.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SUMMARY</w:t>
      </w: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4DF0">
        <w:rPr>
          <w:rFonts w:ascii="Times New Roman" w:hAnsi="Times New Roman" w:cs="Times New Roman"/>
          <w:sz w:val="28"/>
          <w:szCs w:val="28"/>
          <w:lang w:val="en-US"/>
        </w:rPr>
        <w:t>Diploma project 71 pp., 3 chapters, 49 sources, 3 app.</w:t>
      </w:r>
      <w:proofErr w:type="gram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POLITICAL DISCOURSE, EVALUATILITY, ANTROPOCENTRICITY,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MULTIDIMENSIONALITY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OF THE EVALUATILITY, NATURE OF THE EVALUATILITY, MEANS OF EVALUATILITY, EVALUATILITY JUDGEMENT/EXPRESSION, </w:t>
      </w:r>
      <w:r w:rsidRPr="000E4DF0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SEMANTIC DEVELOPMENT OF 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>EVALUATILITY JUDGEMENTS.</w:t>
      </w:r>
    </w:p>
    <w:p w:rsidR="000E4DF0" w:rsidRPr="000E4DF0" w:rsidRDefault="000E4DF0" w:rsidP="000E4DF0">
      <w:pPr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highlight w:val="yellow"/>
          <w:lang w:val="be-BY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study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political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discourse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: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peculiarities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functions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strategies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>political</w:t>
      </w:r>
      <w:r w:rsidRPr="000E4DF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communication. </w:t>
      </w:r>
      <w:r w:rsidRPr="000E4D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aim </w:t>
      </w:r>
      <w:r w:rsidRPr="000E4DF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of the research is identification and systemization of the </w:t>
      </w:r>
      <w:proofErr w:type="spellStart"/>
      <w:r w:rsidRPr="000E4DF0">
        <w:rPr>
          <w:rFonts w:ascii="Times New Roman" w:hAnsi="Times New Roman" w:cs="Times New Roman"/>
          <w:iCs/>
          <w:sz w:val="28"/>
          <w:szCs w:val="28"/>
          <w:lang w:val="en-US"/>
        </w:rPr>
        <w:t>evaluatility</w:t>
      </w:r>
      <w:proofErr w:type="spellEnd"/>
      <w:r w:rsidRPr="000E4DF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explication means in political discourse.</w:t>
      </w:r>
    </w:p>
    <w:p w:rsidR="000E4DF0" w:rsidRPr="000E4DF0" w:rsidRDefault="000E4DF0" w:rsidP="000E4DF0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Methods used in the research: 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>contextually-semantic analysis, classification</w:t>
      </w:r>
      <w:r w:rsidRPr="000E4D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4DF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statistic</w:t>
      </w:r>
      <w:proofErr w:type="spellEnd"/>
      <w:r w:rsidRPr="000E4D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analysis method, 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>diachronic analysis</w:t>
      </w:r>
      <w:r w:rsidRPr="000E4D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comparative method, method of the directional sample. </w:t>
      </w:r>
    </w:p>
    <w:p w:rsidR="000E4DF0" w:rsidRPr="000E4DF0" w:rsidRDefault="000E4DF0" w:rsidP="000E4DF0">
      <w:pPr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b/>
          <w:sz w:val="28"/>
          <w:szCs w:val="28"/>
          <w:lang w:val="en-US"/>
        </w:rPr>
        <w:t>The results obtained and their novelty</w:t>
      </w:r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0E4DF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main means of 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evaluation explication in public speeches of politicians were discovered: 1) evaluation judgments and 2) evaluation expressions. Based on the classification of the logical category of a judgment the following kinds of evaluation judgments were distinguished in political discourse: conjectural,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assertoric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apodictical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evaluation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judgements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E4DF0" w:rsidRPr="000E4DF0" w:rsidRDefault="000E4DF0" w:rsidP="000E4DF0">
      <w:pPr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Almost absolute typological similarity of discovered evaluation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judgements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in both political speeches used as observational material validates proposed classification of evaluation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judgements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>, confirms its universality, objectivity and reliability in the context of the diachronic analysis, and proves its high explanatory and interpretative potential.</w:t>
      </w:r>
    </w:p>
    <w:p w:rsidR="000E4DF0" w:rsidRPr="000E4DF0" w:rsidRDefault="000E4DF0" w:rsidP="000E4DF0">
      <w:pPr>
        <w:spacing w:line="360" w:lineRule="exact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0E4DF0">
        <w:rPr>
          <w:rFonts w:ascii="Times New Roman" w:hAnsi="Times New Roman" w:cs="Times New Roman"/>
          <w:i/>
          <w:sz w:val="28"/>
          <w:szCs w:val="28"/>
          <w:lang w:val="en-US"/>
        </w:rPr>
        <w:t>novelty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of the research engage</w:t>
      </w:r>
      <w:proofErr w:type="gram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systemization of </w:t>
      </w:r>
      <w:proofErr w:type="spellStart"/>
      <w:r w:rsidRPr="000E4DF0">
        <w:rPr>
          <w:rFonts w:ascii="Times New Roman" w:hAnsi="Times New Roman" w:cs="Times New Roman"/>
          <w:sz w:val="28"/>
          <w:szCs w:val="28"/>
          <w:lang w:val="en-US"/>
        </w:rPr>
        <w:t>pragmalinguistic</w:t>
      </w:r>
      <w:proofErr w:type="spellEnd"/>
      <w:r w:rsidRPr="000E4DF0">
        <w:rPr>
          <w:rFonts w:ascii="Times New Roman" w:hAnsi="Times New Roman" w:cs="Times New Roman"/>
          <w:sz w:val="28"/>
          <w:szCs w:val="28"/>
          <w:lang w:val="en-US"/>
        </w:rPr>
        <w:t xml:space="preserve"> characteristics of evaluation statements that have not been represented in the established classifications.</w:t>
      </w:r>
      <w:r w:rsidRPr="000E4DF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0E4DF0" w:rsidRPr="000E4DF0" w:rsidRDefault="000E4DF0" w:rsidP="000E4DF0">
      <w:pPr>
        <w:autoSpaceDE w:val="0"/>
        <w:autoSpaceDN w:val="0"/>
        <w:adjustRightInd w:val="0"/>
        <w:spacing w:line="360" w:lineRule="exact"/>
        <w:ind w:firstLine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practical value of the research and spheres of application.</w:t>
      </w:r>
      <w:proofErr w:type="gramEnd"/>
      <w:r w:rsidRPr="000E4D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E4DF0">
        <w:rPr>
          <w:rFonts w:ascii="Times New Roman" w:hAnsi="Times New Roman" w:cs="Times New Roman"/>
          <w:sz w:val="28"/>
          <w:szCs w:val="28"/>
          <w:lang w:val="en-US"/>
        </w:rPr>
        <w:t>The results obtained can be applied in scientific work for further research of typological classification of the language evaluation category; for the classroom instruction in teaching students of appropriate specialties of linguistic profile; for lectures’ crafting on several academic disciplines; for the textbook and tutorial making. This work is an independent study, the results validity of which is confirmed by the scientifically grounded research technique.</w:t>
      </w:r>
    </w:p>
    <w:sectPr w:rsidR="000E4DF0" w:rsidRPr="000E4DF0" w:rsidSect="000E4DF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E4DF0"/>
    <w:rsid w:val="004235A9"/>
    <w:rsid w:val="006523A1"/>
    <w:rsid w:val="00C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2015-07-01T08:34:00Z</dcterms:created>
  <dcterms:modified xsi:type="dcterms:W3CDTF">2015-07-01T08:40:00Z</dcterms:modified>
</cp:coreProperties>
</file>