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29" w:rsidRPr="009F5629" w:rsidRDefault="009F5629" w:rsidP="009F5629">
      <w:pPr>
        <w:jc w:val="center"/>
        <w:rPr>
          <w:b/>
          <w:szCs w:val="24"/>
        </w:rPr>
      </w:pPr>
      <w:r w:rsidRPr="009F5629">
        <w:rPr>
          <w:b/>
          <w:szCs w:val="24"/>
        </w:rPr>
        <w:t>ВЛИЯНИЕ АКТИВНОГО ОБУЧЕНИЯ СТУДЕНТОВ НА МОТИВАЦИЮ УЧЕБНОЙ ДЕЯТЕЛЬНОСТИ</w:t>
      </w:r>
    </w:p>
    <w:p w:rsidR="009F5629" w:rsidRPr="009F5629" w:rsidRDefault="009F5629" w:rsidP="009F5629">
      <w:pPr>
        <w:rPr>
          <w:szCs w:val="24"/>
        </w:rPr>
      </w:pPr>
    </w:p>
    <w:p w:rsidR="009F5629" w:rsidRPr="009F5629" w:rsidRDefault="009F5629" w:rsidP="009F5629">
      <w:pPr>
        <w:rPr>
          <w:rFonts w:eastAsia="Times New Roman"/>
          <w:bCs/>
          <w:color w:val="000000"/>
          <w:szCs w:val="24"/>
          <w:lang w:eastAsia="ru-RU"/>
        </w:rPr>
      </w:pPr>
      <w:proofErr w:type="spellStart"/>
      <w:r w:rsidRPr="009F5629">
        <w:rPr>
          <w:rFonts w:eastAsia="Times New Roman"/>
          <w:b/>
          <w:bCs/>
          <w:color w:val="000000"/>
          <w:szCs w:val="24"/>
          <w:lang w:eastAsia="ru-RU"/>
        </w:rPr>
        <w:t>Трушкевич</w:t>
      </w:r>
      <w:proofErr w:type="spellEnd"/>
      <w:r w:rsidRPr="009F5629">
        <w:rPr>
          <w:rFonts w:eastAsia="Times New Roman"/>
          <w:b/>
          <w:bCs/>
          <w:color w:val="000000"/>
          <w:szCs w:val="24"/>
          <w:lang w:eastAsia="ru-RU"/>
        </w:rPr>
        <w:t xml:space="preserve"> Наталья Леонидовна</w:t>
      </w:r>
    </w:p>
    <w:p w:rsidR="009F5629" w:rsidRPr="009F5629" w:rsidRDefault="009F5629" w:rsidP="009F5629">
      <w:pPr>
        <w:rPr>
          <w:szCs w:val="24"/>
        </w:rPr>
      </w:pPr>
      <w:r w:rsidRPr="009F5629">
        <w:rPr>
          <w:rFonts w:eastAsia="Times New Roman"/>
          <w:bCs/>
          <w:color w:val="000000"/>
          <w:szCs w:val="24"/>
          <w:lang w:eastAsia="ru-RU"/>
        </w:rPr>
        <w:t>Белорусский государственный экономический университет</w:t>
      </w:r>
    </w:p>
    <w:p w:rsidR="009F5629" w:rsidRPr="009F5629" w:rsidRDefault="009F5629" w:rsidP="009F5629">
      <w:pPr>
        <w:rPr>
          <w:spacing w:val="-4"/>
          <w:szCs w:val="24"/>
        </w:rPr>
      </w:pP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Каждый преподаватель хочет, чтобы его студенты хорошо и с инте</w:t>
      </w:r>
      <w:r w:rsidRPr="009F5629">
        <w:rPr>
          <w:spacing w:val="-4"/>
          <w:szCs w:val="24"/>
        </w:rPr>
        <w:softHyphen/>
        <w:t>ресом учились, но, к сожалению, преподавателям приходится иногда констатировать тот факт, что студенты не хотят учиться, хотя потенциал есть, а желания как такового нет. В этих случаях мы встречаемся с тем, что у студента не сформировались потребности в знаниях, нет интереса к учению. Для того чтобы студенты по-настоящему включились в работу, нужно, чтобы задачи, которые ставятся перед ним в ходе учебной деятельности, были не только понятны, но и вызывали интерес, а также имели значимость для него. Интерес – мощный побудитель активной личности, под его влиянием все психические процессы протекают особенно интен</w:t>
      </w:r>
      <w:r w:rsidRPr="009F5629">
        <w:rPr>
          <w:spacing w:val="-4"/>
          <w:szCs w:val="24"/>
        </w:rPr>
        <w:softHyphen/>
        <w:t>сивно и напряженно, а деятельность становится увлекательной и продуктивной. Большую роль в формировании интереса к учению играет создание проблемной ситуации, столкновение студентов с трудностью, которую они не могут разрешить при помощи имеющегося у них запаса знаний; сталкиваясь с трудностью, они убеждаются в необходимости получения новых знаний или применения старых в новой ситуации. Важным приемом активизации познавательной деятельности студентов является формирование у них положительной мотивации обучения.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Учебная мотивация – это сложная, комплексная система, образуемая мотивами, целями, реакциями на неудачу, настойчивостью и установками ученика.</w:t>
      </w:r>
    </w:p>
    <w:p w:rsidR="009F5629" w:rsidRPr="009F5629" w:rsidRDefault="009F5629" w:rsidP="009F5629">
      <w:pPr>
        <w:ind w:firstLine="397"/>
        <w:rPr>
          <w:color w:val="000000"/>
          <w:spacing w:val="-4"/>
          <w:szCs w:val="24"/>
        </w:rPr>
      </w:pPr>
      <w:r w:rsidRPr="009F5629">
        <w:rPr>
          <w:spacing w:val="-4"/>
          <w:szCs w:val="24"/>
        </w:rPr>
        <w:t xml:space="preserve">Мотивы, побуждающие к приобретению знаний, могут быть различными. Однако, как показывают исследования, среди всех мотивов обучения самым действенным является интерес к предмету. Интерес к предмету осознается студентами раньше, чем другие мотивы учения, он для них более значим, имеет личностную ценность, потому является действенным, реальным мотивом учения. 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мира, при которой наблюдается стремление личности заниматься именно данной областью. 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Главным источником учебной мотивации является ощущение себя активным субъектом учебного процесса, от которого в первую очередь зависит результат. Организуя работу со студентами, нужно помнить, что значительную роль в становлении мотивации учения играет коллективная деятельность. Это объясняется несколькими обстоятельствами. Большое значение имеет включение всех студентов в активную учебную работу, ибо только в процессе деятельности может формироваться положительная учебная мотивация. </w:t>
      </w:r>
      <w:proofErr w:type="gramStart"/>
      <w:r w:rsidRPr="009F5629">
        <w:rPr>
          <w:spacing w:val="-4"/>
          <w:szCs w:val="24"/>
        </w:rPr>
        <w:t>Использование групповых форм обучения втягивает даже тех студентов, которые не хотят учиться, так как, попав в учебную группу, которая коллективно выполняет определенное задание, студент не может отказаться выполнять свою часть работы, иначе подвергнется моральной критике своих товарищей, а их мнением, уважением он, как правило, дорожит, зачастую даже больше, чем мнением преподавателя.</w:t>
      </w:r>
      <w:proofErr w:type="gramEnd"/>
      <w:r w:rsidRPr="009F5629">
        <w:rPr>
          <w:spacing w:val="-4"/>
          <w:szCs w:val="24"/>
        </w:rPr>
        <w:t xml:space="preserve"> Группа оказывает большое влияние на обучение. Убеждения, приобретен</w:t>
      </w:r>
      <w:r w:rsidRPr="009F5629">
        <w:rPr>
          <w:spacing w:val="-4"/>
          <w:szCs w:val="24"/>
        </w:rPr>
        <w:softHyphen/>
        <w:t>ные в группе, выдерживают большее сопротивление влиянию среды и привычкам. Большое значение групповых форм работы связано с тем, что именно группа равных, сверстников, совместно решающих задачу, является средой для развития инициативного поведения в познавательной сфере. Одной из форм групповых занятий являются активные формы обучения.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Активные методы обучения являются одним из направлений учебно-познавательной деятельности. Если на занятиях определенной формы используются активные методы, можно добиться значительной активизации учебно-воспитательного процесса, роста его эффективности. Для получения синергетического эффекта при активном обучении необходимо использовать сочетание его различных форм на практических и семинарских </w:t>
      </w:r>
      <w:r w:rsidRPr="009F5629">
        <w:rPr>
          <w:spacing w:val="-4"/>
          <w:szCs w:val="24"/>
        </w:rPr>
        <w:lastRenderedPageBreak/>
        <w:t>занятиях. Преимущества активных методов обучения заключаются в облегчении восприятия нового материала, в результате вовлеченности обуча</w:t>
      </w:r>
      <w:r w:rsidRPr="009F5629">
        <w:rPr>
          <w:spacing w:val="-4"/>
          <w:szCs w:val="24"/>
        </w:rPr>
        <w:softHyphen/>
        <w:t>ющихся в образовательный процесс. Этот подход согласуется с экспери</w:t>
      </w:r>
      <w:r w:rsidRPr="009F5629">
        <w:rPr>
          <w:spacing w:val="-4"/>
          <w:szCs w:val="24"/>
        </w:rPr>
        <w:softHyphen/>
        <w:t>ментальными данными, которые свидетельствуют, что при лекционной подаче материала усваивается не более 20–30% информации, при самостоя</w:t>
      </w:r>
      <w:r w:rsidRPr="009F5629">
        <w:rPr>
          <w:spacing w:val="-4"/>
          <w:szCs w:val="24"/>
        </w:rPr>
        <w:softHyphen/>
        <w:t>тельной работе с литературой – до 50%, при проговаривании – до 70%, а при личном участии в изучаемой деятельности (например, в деловой игре) – до 90%.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По характеру учебно-познавательной деятельности (чаще всего используют именно эту классификацию) методы активного обучения подразде</w:t>
      </w:r>
      <w:r w:rsidRPr="009F5629">
        <w:rPr>
          <w:spacing w:val="-4"/>
          <w:szCs w:val="24"/>
        </w:rPr>
        <w:softHyphen/>
        <w:t xml:space="preserve">ляют на: имитационные методы, базирующиеся на имитации профессиональной деятельности, и </w:t>
      </w:r>
      <w:proofErr w:type="spellStart"/>
      <w:r w:rsidRPr="009F5629">
        <w:rPr>
          <w:spacing w:val="-4"/>
          <w:szCs w:val="24"/>
        </w:rPr>
        <w:t>неимитационные</w:t>
      </w:r>
      <w:proofErr w:type="spellEnd"/>
      <w:r w:rsidRPr="009F5629">
        <w:rPr>
          <w:spacing w:val="-4"/>
          <w:szCs w:val="24"/>
        </w:rPr>
        <w:t xml:space="preserve">. </w:t>
      </w:r>
      <w:proofErr w:type="gramStart"/>
      <w:r w:rsidRPr="009F5629">
        <w:rPr>
          <w:spacing w:val="-4"/>
          <w:szCs w:val="24"/>
        </w:rPr>
        <w:t>Имитационные</w:t>
      </w:r>
      <w:proofErr w:type="gramEnd"/>
      <w:r w:rsidRPr="009F5629">
        <w:rPr>
          <w:spacing w:val="-4"/>
          <w:szCs w:val="24"/>
        </w:rPr>
        <w:t>, в свою очередь, подразделяют на игровые и неигровые.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Наиболее распространенным </w:t>
      </w:r>
      <w:proofErr w:type="spellStart"/>
      <w:r w:rsidRPr="009F5629">
        <w:rPr>
          <w:spacing w:val="-4"/>
          <w:szCs w:val="24"/>
        </w:rPr>
        <w:t>неимитационными</w:t>
      </w:r>
      <w:proofErr w:type="spellEnd"/>
      <w:r w:rsidRPr="009F5629">
        <w:rPr>
          <w:spacing w:val="-4"/>
          <w:szCs w:val="24"/>
        </w:rPr>
        <w:t xml:space="preserve"> методам являются дискуссии (с мозговой атакой и без нее), выездное занятие с дискуссией, программированное обучение, курсовая работа, проблемная лекция или практическое занятие.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К имитационным методам относятся: тренинги, деловые и ролевые игры, методы генерирования идей и другие. При этом к </w:t>
      </w:r>
      <w:proofErr w:type="gramStart"/>
      <w:r w:rsidRPr="009F5629">
        <w:rPr>
          <w:spacing w:val="-4"/>
          <w:szCs w:val="24"/>
        </w:rPr>
        <w:t>неигровым</w:t>
      </w:r>
      <w:proofErr w:type="gramEnd"/>
      <w:r w:rsidRPr="009F5629">
        <w:rPr>
          <w:spacing w:val="-4"/>
          <w:szCs w:val="24"/>
        </w:rPr>
        <w:t xml:space="preserve"> относят анализ конкретных ситуаций. Игровые методы подразделяют </w:t>
      </w:r>
      <w:proofErr w:type="gramStart"/>
      <w:r w:rsidRPr="009F5629">
        <w:rPr>
          <w:spacing w:val="-4"/>
          <w:szCs w:val="24"/>
        </w:rPr>
        <w:t>на</w:t>
      </w:r>
      <w:proofErr w:type="gramEnd"/>
      <w:r w:rsidRPr="009F5629">
        <w:rPr>
          <w:spacing w:val="-4"/>
          <w:szCs w:val="24"/>
        </w:rPr>
        <w:t>: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– деловые игры,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– дидактические или учебные игры,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– игровые ситуации и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– игровые приемы 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– тренинги в активном режиме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При этом к игровым приемам относят средства реализации отдельных, единичных принципов. В первую очередь, различные формы активизации лекционных занятий и других традиционных форм обучения, игровые педагогические приемы, отдельные средства активизации. Например, занятие с использованием метода анализа конкретных ситуаций в виде иллюстрации осуществляемой преподавателем, занятие с запланированными ошибками, проблемные занятия, занятия пресс-конференция, занятие – дискуссию, занятие – беседу – принцип диалогового общения.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Выделяют четыре структурных группы элементов игровой деятельно</w:t>
      </w:r>
      <w:r w:rsidRPr="009F5629">
        <w:rPr>
          <w:spacing w:val="-4"/>
          <w:szCs w:val="24"/>
        </w:rPr>
        <w:softHyphen/>
        <w:t>сти, которые имеют место при реализации всех форм и методов активного обучения.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1. Проблемное содержание. Имитационная модель – это основной, центральный элемент деловой игры. Если рассматривать весь комплекс методов активного обучения, то в основе других игровых форм, вместо нее, могут использоваться творческие (или проблемные) задачи, ситуационные задачи, проблемные вопросы. Вторым элементом реализации проблемного содержания выступает игровая среда.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2. Организация участников игрового действия. Этот элемент игры отражается в способах формировании команд, определении и распределении ролей.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>3. Игровое взаимодействие. Порядок, вид и способы действий участников определяют правила, которые описываются отдельно или в сценарии игры. Условия, в которых осуществляется игровое взаимодействие, называют игровой обстановкой.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4. Методическое обеспечение. Требование формирования дидактической модели игрового действия, реализации принципа </w:t>
      </w:r>
      <w:proofErr w:type="spellStart"/>
      <w:r w:rsidRPr="009F5629">
        <w:rPr>
          <w:spacing w:val="-4"/>
          <w:szCs w:val="24"/>
        </w:rPr>
        <w:t>двуплановости</w:t>
      </w:r>
      <w:proofErr w:type="spellEnd"/>
      <w:r w:rsidRPr="009F5629">
        <w:rPr>
          <w:spacing w:val="-4"/>
          <w:szCs w:val="24"/>
        </w:rPr>
        <w:t xml:space="preserve"> выполняется при осуществлении всех перечисляемых выше игровых элемен</w:t>
      </w:r>
      <w:r w:rsidRPr="009F5629">
        <w:rPr>
          <w:spacing w:val="-4"/>
          <w:szCs w:val="24"/>
        </w:rPr>
        <w:softHyphen/>
        <w:t xml:space="preserve">тов, но только дидактическим целям служат такие игровые элементы как погружение, рефлексия и система оценивания. Они обеспечивают успешность игрового действия и поэтому в наибольшей степени отвечают дидактическим целям игры. Совокупность всех игровых элементов в части их дидактической направленности трактуется как игровая модель. 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t xml:space="preserve">Познавательно-побуждающая мотивация появляется при применении активных методов обучения и, возникнув, превращается в фактор активизации учебного процесса и эффективности обучения. Познавательная мотивация побуждает человека развивать свои склонности и возможности, </w:t>
      </w:r>
      <w:proofErr w:type="gramStart"/>
      <w:r w:rsidRPr="009F5629">
        <w:rPr>
          <w:spacing w:val="-4"/>
          <w:szCs w:val="24"/>
        </w:rPr>
        <w:t>оказывает определяющее влияние на формирование</w:t>
      </w:r>
      <w:proofErr w:type="gramEnd"/>
      <w:r w:rsidRPr="009F5629">
        <w:rPr>
          <w:spacing w:val="-4"/>
          <w:szCs w:val="24"/>
        </w:rPr>
        <w:t xml:space="preserve"> личности и раскрытие ее творческого потенциала.</w:t>
      </w:r>
    </w:p>
    <w:p w:rsidR="009F5629" w:rsidRPr="009F5629" w:rsidRDefault="009F5629" w:rsidP="009F5629">
      <w:pPr>
        <w:ind w:firstLine="397"/>
        <w:rPr>
          <w:spacing w:val="-4"/>
          <w:szCs w:val="24"/>
        </w:rPr>
      </w:pPr>
      <w:r w:rsidRPr="009F5629">
        <w:rPr>
          <w:spacing w:val="-4"/>
          <w:szCs w:val="24"/>
        </w:rPr>
        <w:lastRenderedPageBreak/>
        <w:t>С появлением познавательно-побуждающих мотивов происходит перестройка восприятия, памяти, мышления, переориентация интересов, активизация способностей человека, создавая предпосылки успешного выполнения той деятельности, к которой он испытывает интерес. Сочетание познавательного интереса к предмету и профессиональной мотивации оказывает наибольшее влияние на эффективность обучения.</w:t>
      </w:r>
    </w:p>
    <w:p w:rsidR="009F5629" w:rsidRPr="009F5629" w:rsidRDefault="009F5629" w:rsidP="009F5629">
      <w:pPr>
        <w:ind w:firstLine="397"/>
        <w:rPr>
          <w:color w:val="000000"/>
          <w:spacing w:val="-4"/>
          <w:szCs w:val="24"/>
        </w:rPr>
      </w:pPr>
      <w:r w:rsidRPr="009F5629">
        <w:rPr>
          <w:color w:val="000000"/>
          <w:spacing w:val="-4"/>
          <w:szCs w:val="24"/>
        </w:rPr>
        <w:t xml:space="preserve">Многочисленные исследования показали тесную связь между уровнем мотивации достижения и успехом в учебе, который и обеспечивают активные формы обучения, вообще в жизнедеятельности. </w:t>
      </w:r>
      <w:proofErr w:type="gramStart"/>
      <w:r w:rsidRPr="009F5629">
        <w:rPr>
          <w:color w:val="000000"/>
          <w:spacing w:val="-4"/>
          <w:szCs w:val="24"/>
        </w:rPr>
        <w:t>И это не случайно, ибо доказано, что люди, обладающие высоким уровнем мотивации, ищут ситуации достижения, уверены в успешном исходе, ищут информацию для суждения о своих успехах, готовы принять на себя ответственность, решительны в неопределенных ситуациях, проявляют настойчивость в стремлении к цели, получают удовольствие от 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  <w:r w:rsidRPr="009F5629">
        <w:rPr>
          <w:color w:val="000000"/>
          <w:spacing w:val="-4"/>
          <w:szCs w:val="24"/>
        </w:rPr>
        <w:t xml:space="preserve"> Все эти перечисленные выше факторы показывают необходимость определения уровня мотивации достижения среди студентов для наиболее эффективного процесса обучения.</w:t>
      </w:r>
    </w:p>
    <w:p w:rsidR="009F5629" w:rsidRPr="009F5629" w:rsidRDefault="009F5629" w:rsidP="009F5629">
      <w:pPr>
        <w:ind w:firstLine="397"/>
        <w:rPr>
          <w:color w:val="000000"/>
          <w:spacing w:val="-4"/>
          <w:szCs w:val="24"/>
        </w:rPr>
      </w:pPr>
    </w:p>
    <w:p w:rsidR="009F5629" w:rsidRPr="009F5629" w:rsidRDefault="009F5629" w:rsidP="009F5629">
      <w:pPr>
        <w:jc w:val="center"/>
        <w:rPr>
          <w:color w:val="000000"/>
          <w:spacing w:val="-4"/>
          <w:szCs w:val="24"/>
        </w:rPr>
      </w:pPr>
      <w:r w:rsidRPr="009F5629">
        <w:rPr>
          <w:color w:val="000000"/>
          <w:spacing w:val="-4"/>
          <w:szCs w:val="24"/>
        </w:rPr>
        <w:t>ЛИТЕРАТУРА</w:t>
      </w:r>
    </w:p>
    <w:p w:rsidR="009F5629" w:rsidRPr="009F5629" w:rsidRDefault="009F5629" w:rsidP="009F5629">
      <w:pPr>
        <w:ind w:firstLine="397"/>
        <w:rPr>
          <w:color w:val="000000"/>
          <w:spacing w:val="-4"/>
          <w:szCs w:val="24"/>
        </w:rPr>
      </w:pPr>
    </w:p>
    <w:p w:rsidR="009F5629" w:rsidRPr="009F5629" w:rsidRDefault="009F5629" w:rsidP="009F5629">
      <w:pPr>
        <w:pStyle w:val="a3"/>
        <w:tabs>
          <w:tab w:val="left" w:pos="284"/>
          <w:tab w:val="left" w:pos="518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9F5629"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 w:rsidRPr="009F5629">
        <w:rPr>
          <w:rFonts w:ascii="Times New Roman" w:hAnsi="Times New Roman"/>
          <w:b/>
          <w:spacing w:val="-4"/>
          <w:sz w:val="24"/>
          <w:szCs w:val="24"/>
        </w:rPr>
        <w:t>Агопова</w:t>
      </w:r>
      <w:proofErr w:type="spellEnd"/>
      <w:r w:rsidRPr="009F5629">
        <w:rPr>
          <w:rFonts w:ascii="Times New Roman" w:hAnsi="Times New Roman"/>
          <w:b/>
          <w:spacing w:val="-4"/>
          <w:sz w:val="24"/>
          <w:szCs w:val="24"/>
        </w:rPr>
        <w:t>, Н. В.</w:t>
      </w:r>
      <w:r w:rsidRPr="009F5629">
        <w:rPr>
          <w:rFonts w:ascii="Times New Roman" w:hAnsi="Times New Roman"/>
          <w:spacing w:val="-4"/>
          <w:sz w:val="24"/>
          <w:szCs w:val="24"/>
        </w:rPr>
        <w:t xml:space="preserve"> Преподаватель высшей школы: педагогические основы дополнительной квалификации : учеб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>п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особие / Н. В. </w:t>
      </w:r>
      <w:proofErr w:type="spellStart"/>
      <w:r w:rsidRPr="009F5629">
        <w:rPr>
          <w:rFonts w:ascii="Times New Roman" w:hAnsi="Times New Roman"/>
          <w:spacing w:val="-4"/>
          <w:sz w:val="24"/>
          <w:szCs w:val="24"/>
        </w:rPr>
        <w:t>Агопова</w:t>
      </w:r>
      <w:proofErr w:type="spellEnd"/>
      <w:r w:rsidRPr="009F5629">
        <w:rPr>
          <w:rFonts w:ascii="Times New Roman" w:hAnsi="Times New Roman"/>
          <w:spacing w:val="-4"/>
          <w:sz w:val="24"/>
          <w:szCs w:val="24"/>
        </w:rPr>
        <w:t xml:space="preserve">, Н. В. </w:t>
      </w:r>
      <w:proofErr w:type="spellStart"/>
      <w:r w:rsidRPr="009F5629">
        <w:rPr>
          <w:rFonts w:ascii="Times New Roman" w:hAnsi="Times New Roman"/>
          <w:spacing w:val="-4"/>
          <w:sz w:val="24"/>
          <w:szCs w:val="24"/>
        </w:rPr>
        <w:t>Быхтина</w:t>
      </w:r>
      <w:proofErr w:type="spellEnd"/>
      <w:r w:rsidRPr="009F5629">
        <w:rPr>
          <w:rFonts w:ascii="Times New Roman" w:hAnsi="Times New Roman"/>
          <w:spacing w:val="-4"/>
          <w:sz w:val="24"/>
          <w:szCs w:val="24"/>
        </w:rPr>
        <w:t>. – Белгород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F5629">
        <w:rPr>
          <w:rFonts w:ascii="Times New Roman" w:hAnsi="Times New Roman"/>
          <w:spacing w:val="-4"/>
          <w:sz w:val="24"/>
          <w:szCs w:val="24"/>
        </w:rPr>
        <w:t>БелЮИ</w:t>
      </w:r>
      <w:proofErr w:type="spellEnd"/>
      <w:r w:rsidRPr="009F5629">
        <w:rPr>
          <w:rFonts w:ascii="Times New Roman" w:hAnsi="Times New Roman"/>
          <w:spacing w:val="-4"/>
          <w:sz w:val="24"/>
          <w:szCs w:val="24"/>
        </w:rPr>
        <w:t xml:space="preserve"> МВД России, 2009. – Ч. 2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 Педагогика Высшей школы. – 188 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>.</w:t>
      </w:r>
    </w:p>
    <w:p w:rsidR="009F5629" w:rsidRPr="009F5629" w:rsidRDefault="009F5629" w:rsidP="009F5629">
      <w:pPr>
        <w:pStyle w:val="1"/>
        <w:keepNext w:val="0"/>
        <w:keepLines w:val="0"/>
        <w:shd w:val="clear" w:color="auto" w:fill="FFFFFF"/>
        <w:tabs>
          <w:tab w:val="left" w:pos="284"/>
          <w:tab w:val="left" w:pos="518"/>
        </w:tabs>
        <w:spacing w:before="0"/>
        <w:ind w:firstLine="397"/>
        <w:textAlignment w:val="baseline"/>
        <w:rPr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9F5629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2. </w:t>
      </w:r>
      <w:r w:rsidRPr="009F5629">
        <w:rPr>
          <w:rFonts w:ascii="Times New Roman" w:hAnsi="Times New Roman"/>
          <w:color w:val="000000"/>
          <w:spacing w:val="-4"/>
          <w:sz w:val="24"/>
          <w:szCs w:val="24"/>
        </w:rPr>
        <w:t>Бахтина И.</w:t>
      </w:r>
      <w:r w:rsidRPr="009F5629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Активные методы обучения / И. Бахтина // Сестринское дело. – 2008. – № 4. – С. 20–21.</w:t>
      </w:r>
    </w:p>
    <w:p w:rsidR="009F5629" w:rsidRPr="009F5629" w:rsidRDefault="009F5629" w:rsidP="009F5629">
      <w:pPr>
        <w:pStyle w:val="a3"/>
        <w:shd w:val="clear" w:color="auto" w:fill="FFFFFF"/>
        <w:tabs>
          <w:tab w:val="left" w:pos="0"/>
          <w:tab w:val="left" w:pos="284"/>
          <w:tab w:val="left" w:pos="426"/>
          <w:tab w:val="left" w:pos="518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9F5629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3. </w:t>
      </w:r>
      <w:r w:rsidRPr="009F562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Вербицкий, А. А. </w:t>
      </w:r>
      <w:r w:rsidRPr="009F5629">
        <w:rPr>
          <w:rFonts w:ascii="Times New Roman" w:hAnsi="Times New Roman"/>
          <w:color w:val="000000"/>
          <w:spacing w:val="-4"/>
          <w:sz w:val="24"/>
          <w:szCs w:val="24"/>
        </w:rPr>
        <w:t>Активное обучение в высшей школе</w:t>
      </w:r>
      <w:proofErr w:type="gramStart"/>
      <w:r w:rsidRPr="009F5629">
        <w:rPr>
          <w:rFonts w:ascii="Times New Roman" w:hAnsi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9F5629">
        <w:rPr>
          <w:rFonts w:ascii="Times New Roman" w:hAnsi="Times New Roman"/>
          <w:color w:val="000000"/>
          <w:spacing w:val="-4"/>
          <w:sz w:val="24"/>
          <w:szCs w:val="24"/>
        </w:rPr>
        <w:t xml:space="preserve"> контекстный подход / А. А. Вербицкий. – </w:t>
      </w:r>
      <w:r w:rsidRPr="009F5629">
        <w:rPr>
          <w:rFonts w:ascii="Times New Roman" w:hAnsi="Times New Roman"/>
          <w:bCs/>
          <w:color w:val="000000"/>
          <w:spacing w:val="-4"/>
          <w:sz w:val="24"/>
          <w:szCs w:val="24"/>
        </w:rPr>
        <w:t>Москва, 1991.</w:t>
      </w:r>
    </w:p>
    <w:p w:rsidR="009F5629" w:rsidRPr="009F5629" w:rsidRDefault="009F5629" w:rsidP="009F5629">
      <w:pPr>
        <w:pStyle w:val="a3"/>
        <w:tabs>
          <w:tab w:val="left" w:pos="284"/>
          <w:tab w:val="left" w:pos="518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9F5629"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 w:rsidRPr="009F5629">
        <w:rPr>
          <w:rFonts w:ascii="Times New Roman" w:hAnsi="Times New Roman"/>
          <w:b/>
          <w:spacing w:val="-4"/>
          <w:sz w:val="24"/>
          <w:szCs w:val="24"/>
        </w:rPr>
        <w:t>Винограденко</w:t>
      </w:r>
      <w:proofErr w:type="spellEnd"/>
      <w:r w:rsidRPr="009F5629">
        <w:rPr>
          <w:rFonts w:ascii="Times New Roman" w:hAnsi="Times New Roman"/>
          <w:b/>
          <w:spacing w:val="-4"/>
          <w:sz w:val="24"/>
          <w:szCs w:val="24"/>
        </w:rPr>
        <w:t>, Е. А.</w:t>
      </w:r>
      <w:r w:rsidRPr="009F5629">
        <w:rPr>
          <w:rFonts w:ascii="Times New Roman" w:hAnsi="Times New Roman"/>
          <w:spacing w:val="-4"/>
          <w:sz w:val="24"/>
          <w:szCs w:val="24"/>
        </w:rPr>
        <w:t xml:space="preserve"> Активные формы и методы обучения как средство профессионального становления [Электронный ресурс]. – 2011. – Режим доступа: http://vinogradenko66.rusedu.net. – Дата доступа: 10.01.2015.</w:t>
      </w:r>
    </w:p>
    <w:p w:rsidR="009F5629" w:rsidRPr="009F5629" w:rsidRDefault="009F5629" w:rsidP="009F5629">
      <w:pPr>
        <w:pStyle w:val="a3"/>
        <w:tabs>
          <w:tab w:val="left" w:pos="284"/>
          <w:tab w:val="left" w:pos="518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9F5629">
        <w:rPr>
          <w:rFonts w:ascii="Times New Roman" w:hAnsi="Times New Roman"/>
          <w:spacing w:val="-4"/>
          <w:sz w:val="24"/>
          <w:szCs w:val="24"/>
        </w:rPr>
        <w:t xml:space="preserve">5. </w:t>
      </w:r>
      <w:r w:rsidRPr="009F5629">
        <w:rPr>
          <w:rFonts w:ascii="Times New Roman" w:hAnsi="Times New Roman"/>
          <w:b/>
          <w:spacing w:val="-4"/>
          <w:sz w:val="24"/>
          <w:szCs w:val="24"/>
        </w:rPr>
        <w:t xml:space="preserve">Маркова, А. К. </w:t>
      </w:r>
      <w:r w:rsidRPr="009F5629">
        <w:rPr>
          <w:rFonts w:ascii="Times New Roman" w:hAnsi="Times New Roman"/>
          <w:spacing w:val="-4"/>
          <w:sz w:val="24"/>
          <w:szCs w:val="24"/>
        </w:rPr>
        <w:t>Формирование мотивации учения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 кн. для учителя / </w:t>
      </w:r>
      <w:r w:rsidRPr="009F5629">
        <w:rPr>
          <w:rFonts w:ascii="Times New Roman" w:hAnsi="Times New Roman"/>
          <w:spacing w:val="-4"/>
          <w:sz w:val="24"/>
          <w:szCs w:val="24"/>
        </w:rPr>
        <w:br/>
        <w:t xml:space="preserve">А. К. Маркова, Т. А. </w:t>
      </w:r>
      <w:proofErr w:type="spellStart"/>
      <w:r w:rsidRPr="009F5629">
        <w:rPr>
          <w:rFonts w:ascii="Times New Roman" w:hAnsi="Times New Roman"/>
          <w:spacing w:val="-4"/>
          <w:sz w:val="24"/>
          <w:szCs w:val="24"/>
        </w:rPr>
        <w:t>Матис</w:t>
      </w:r>
      <w:proofErr w:type="spellEnd"/>
      <w:r w:rsidRPr="009F5629">
        <w:rPr>
          <w:rFonts w:ascii="Times New Roman" w:hAnsi="Times New Roman"/>
          <w:spacing w:val="-4"/>
          <w:sz w:val="24"/>
          <w:szCs w:val="24"/>
        </w:rPr>
        <w:t>, А. Б. Орлов. – Москва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 xml:space="preserve"> Просвещение, 1990. – 191 </w:t>
      </w:r>
      <w:proofErr w:type="gramStart"/>
      <w:r w:rsidRPr="009F5629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9F5629">
        <w:rPr>
          <w:rFonts w:ascii="Times New Roman" w:hAnsi="Times New Roman"/>
          <w:spacing w:val="-4"/>
          <w:sz w:val="24"/>
          <w:szCs w:val="24"/>
        </w:rPr>
        <w:t>.</w:t>
      </w:r>
      <w:r w:rsidRPr="009F5629">
        <w:rPr>
          <w:rFonts w:ascii="Times New Roman" w:hAnsi="Times New Roman"/>
          <w:color w:val="000000"/>
          <w:spacing w:val="-4"/>
          <w:sz w:val="24"/>
          <w:szCs w:val="24"/>
          <w:shd w:val="clear" w:color="auto" w:fill="FEF0C9"/>
        </w:rPr>
        <w:t xml:space="preserve"> </w:t>
      </w:r>
    </w:p>
    <w:p w:rsidR="00710E8E" w:rsidRDefault="00710E8E"/>
    <w:sectPr w:rsidR="00710E8E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629"/>
    <w:rsid w:val="00566D5B"/>
    <w:rsid w:val="00710E8E"/>
    <w:rsid w:val="007F5060"/>
    <w:rsid w:val="009F5629"/>
    <w:rsid w:val="00A540B7"/>
    <w:rsid w:val="00C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9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62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62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List Paragraph"/>
    <w:basedOn w:val="a"/>
    <w:uiPriority w:val="34"/>
    <w:qFormat/>
    <w:rsid w:val="009F562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2015-08-26T13:27:00Z</dcterms:created>
  <dcterms:modified xsi:type="dcterms:W3CDTF">2015-08-26T13:33:00Z</dcterms:modified>
</cp:coreProperties>
</file>