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D3" w:rsidRPr="008314A3" w:rsidRDefault="009163D3" w:rsidP="009163D3">
      <w:pPr>
        <w:ind w:firstLine="709"/>
        <w:jc w:val="both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Практическая работа</w:t>
      </w:r>
    </w:p>
    <w:p w:rsidR="009163D3" w:rsidRPr="008314A3" w:rsidRDefault="009163D3" w:rsidP="009163D3">
      <w:pPr>
        <w:ind w:firstLine="709"/>
        <w:jc w:val="both"/>
        <w:rPr>
          <w:rFonts w:ascii="Times New Roman" w:hAnsi="Times New Roman"/>
          <w:b/>
          <w:sz w:val="38"/>
          <w:szCs w:val="38"/>
        </w:rPr>
      </w:pPr>
      <w:r w:rsidRPr="008314A3">
        <w:rPr>
          <w:rFonts w:ascii="Times New Roman" w:hAnsi="Times New Roman"/>
          <w:b/>
          <w:sz w:val="38"/>
          <w:szCs w:val="38"/>
        </w:rPr>
        <w:t>Полигоны ТБО и их влияние на окружающую среду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3D3" w:rsidRPr="008314A3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8314A3">
        <w:rPr>
          <w:rFonts w:ascii="Times New Roman" w:hAnsi="Times New Roman"/>
          <w:b/>
          <w:sz w:val="32"/>
          <w:szCs w:val="32"/>
        </w:rPr>
        <w:t>Цель работы:</w:t>
      </w:r>
      <w:r w:rsidRPr="008314A3">
        <w:rPr>
          <w:rFonts w:ascii="Times New Roman" w:hAnsi="Times New Roman"/>
          <w:sz w:val="32"/>
          <w:szCs w:val="32"/>
        </w:rPr>
        <w:t xml:space="preserve"> получение практических навыков определения основных показателей полигонов твёрдых бытовых отходов, характеризующих степень из воздействия на окружающую среду.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345A9">
        <w:rPr>
          <w:rFonts w:ascii="Times New Roman" w:hAnsi="Times New Roman"/>
          <w:b/>
          <w:sz w:val="32"/>
          <w:szCs w:val="32"/>
        </w:rPr>
        <w:t>Теоретическая часть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163D3" w:rsidRPr="006345A9" w:rsidRDefault="009163D3" w:rsidP="009163D3">
      <w:pPr>
        <w:tabs>
          <w:tab w:val="left" w:pos="2985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b/>
          <w:sz w:val="32"/>
          <w:szCs w:val="32"/>
        </w:rPr>
        <w:t>Твёрдые бытовые отходы</w:t>
      </w:r>
      <w:r w:rsidRPr="006345A9">
        <w:rPr>
          <w:rFonts w:ascii="Times New Roman" w:hAnsi="Times New Roman"/>
          <w:sz w:val="32"/>
          <w:szCs w:val="32"/>
        </w:rPr>
        <w:t xml:space="preserve"> (ТБО) – непригодные для дальнейшего использования пищевые продукты и предметы быта, выбрасываемые человеком.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bCs/>
          <w:sz w:val="32"/>
          <w:szCs w:val="32"/>
        </w:rPr>
        <w:t xml:space="preserve">Наиболее распространенными сооружениями по обезвреживанию ТБО являются </w:t>
      </w:r>
      <w:r w:rsidRPr="006345A9">
        <w:rPr>
          <w:bCs/>
          <w:i/>
          <w:sz w:val="32"/>
          <w:szCs w:val="32"/>
        </w:rPr>
        <w:t>полигоны</w:t>
      </w:r>
      <w:r w:rsidRPr="006345A9">
        <w:rPr>
          <w:bCs/>
          <w:sz w:val="32"/>
          <w:szCs w:val="32"/>
        </w:rPr>
        <w:t>. Современные</w:t>
      </w:r>
      <w:r w:rsidRPr="006345A9">
        <w:rPr>
          <w:sz w:val="32"/>
          <w:szCs w:val="32"/>
        </w:rPr>
        <w:t xml:space="preserve"> полигоны ТБО – это комплексные природоохранные сооружения, предназначенные для обезвреживания и захоронения отходов. Полигоны должны обеспечивать защиту от загрязнения отходами атмосферного воздуха, почвы, поверхностных и грунтовых вод,  препятствовать  распространению грызунов,  насекомых  и болезнетворных микроорганизмов.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>Размеры земельных участков, отводимых под полигон, рассчитываются из условия 0,02…0,05 га на 1000 т ТБО. Теоретическая вместимость полигона на расчетный срок эксплуатации (15…30 лет) определяется по формуле:</w:t>
      </w:r>
    </w:p>
    <w:p w:rsidR="009163D3" w:rsidRPr="006345A9" w:rsidRDefault="009163D3" w:rsidP="009163D3">
      <w:pPr>
        <w:pStyle w:val="2"/>
        <w:tabs>
          <w:tab w:val="left" w:pos="851"/>
        </w:tabs>
        <w:spacing w:after="120"/>
        <w:ind w:firstLine="0"/>
        <w:jc w:val="center"/>
        <w:rPr>
          <w:sz w:val="32"/>
          <w:szCs w:val="32"/>
        </w:rPr>
      </w:pPr>
      <w:r w:rsidRPr="006345A9">
        <w:rPr>
          <w:i/>
          <w:iCs/>
          <w:sz w:val="32"/>
          <w:szCs w:val="32"/>
          <w:lang w:val="en-US"/>
        </w:rPr>
        <w:t>V</w:t>
      </w:r>
      <w:r w:rsidRPr="006345A9">
        <w:rPr>
          <w:i/>
          <w:iCs/>
          <w:sz w:val="32"/>
          <w:szCs w:val="32"/>
          <w:vertAlign w:val="subscript"/>
        </w:rPr>
        <w:t xml:space="preserve">П </w:t>
      </w:r>
      <w:r w:rsidRPr="006345A9">
        <w:rPr>
          <w:sz w:val="32"/>
          <w:szCs w:val="32"/>
        </w:rPr>
        <w:t>= (</w:t>
      </w:r>
      <w:r w:rsidRPr="006345A9">
        <w:rPr>
          <w:i/>
          <w:iCs/>
          <w:sz w:val="32"/>
          <w:szCs w:val="32"/>
        </w:rPr>
        <w:t>У</w:t>
      </w:r>
      <w:r w:rsidRPr="006345A9">
        <w:rPr>
          <w:sz w:val="32"/>
          <w:szCs w:val="32"/>
          <w:vertAlign w:val="subscript"/>
        </w:rPr>
        <w:t>1</w:t>
      </w:r>
      <w:r w:rsidRPr="006345A9">
        <w:rPr>
          <w:sz w:val="32"/>
          <w:szCs w:val="32"/>
        </w:rPr>
        <w:t>+</w:t>
      </w:r>
      <w:r w:rsidRPr="006345A9">
        <w:rPr>
          <w:i/>
          <w:iCs/>
          <w:sz w:val="32"/>
          <w:szCs w:val="32"/>
        </w:rPr>
        <w:t>У</w:t>
      </w:r>
      <w:r w:rsidRPr="006345A9">
        <w:rPr>
          <w:sz w:val="32"/>
          <w:szCs w:val="32"/>
          <w:vertAlign w:val="subscript"/>
        </w:rPr>
        <w:t>2</w:t>
      </w:r>
      <w:r w:rsidRPr="006345A9">
        <w:rPr>
          <w:sz w:val="32"/>
          <w:szCs w:val="32"/>
        </w:rPr>
        <w:t>) (</w:t>
      </w:r>
      <w:r w:rsidRPr="006345A9">
        <w:rPr>
          <w:i/>
          <w:iCs/>
          <w:sz w:val="32"/>
          <w:szCs w:val="32"/>
        </w:rPr>
        <w:t>Н</w:t>
      </w:r>
      <w:r w:rsidRPr="006345A9">
        <w:rPr>
          <w:sz w:val="32"/>
          <w:szCs w:val="32"/>
          <w:vertAlign w:val="subscript"/>
        </w:rPr>
        <w:t>1</w:t>
      </w:r>
      <w:r w:rsidRPr="006345A9">
        <w:rPr>
          <w:sz w:val="32"/>
          <w:szCs w:val="32"/>
        </w:rPr>
        <w:t>+</w:t>
      </w:r>
      <w:r w:rsidRPr="006345A9">
        <w:rPr>
          <w:i/>
          <w:iCs/>
          <w:sz w:val="32"/>
          <w:szCs w:val="32"/>
        </w:rPr>
        <w:t>Н</w:t>
      </w:r>
      <w:r w:rsidRPr="006345A9">
        <w:rPr>
          <w:sz w:val="32"/>
          <w:szCs w:val="32"/>
          <w:vertAlign w:val="subscript"/>
        </w:rPr>
        <w:t>2</w:t>
      </w:r>
      <w:r w:rsidRPr="006345A9">
        <w:rPr>
          <w:sz w:val="32"/>
          <w:szCs w:val="32"/>
        </w:rPr>
        <w:t xml:space="preserve">) </w:t>
      </w:r>
      <w:r w:rsidRPr="006345A9">
        <w:rPr>
          <w:i/>
          <w:iCs/>
          <w:sz w:val="32"/>
          <w:szCs w:val="32"/>
        </w:rPr>
        <w:t>Т К</w:t>
      </w:r>
      <w:r w:rsidRPr="006345A9">
        <w:rPr>
          <w:sz w:val="32"/>
          <w:szCs w:val="32"/>
          <w:vertAlign w:val="subscript"/>
        </w:rPr>
        <w:t>2</w:t>
      </w:r>
      <w:r w:rsidRPr="006345A9">
        <w:rPr>
          <w:sz w:val="32"/>
          <w:szCs w:val="32"/>
        </w:rPr>
        <w:t>/ 4</w:t>
      </w:r>
      <w:r w:rsidRPr="006345A9">
        <w:rPr>
          <w:i/>
          <w:iCs/>
          <w:sz w:val="32"/>
          <w:szCs w:val="32"/>
        </w:rPr>
        <w:t>К</w:t>
      </w:r>
      <w:r w:rsidRPr="006345A9">
        <w:rPr>
          <w:sz w:val="32"/>
          <w:szCs w:val="32"/>
          <w:vertAlign w:val="subscript"/>
        </w:rPr>
        <w:t>1</w:t>
      </w:r>
      <w:r w:rsidRPr="006345A9">
        <w:rPr>
          <w:sz w:val="32"/>
          <w:szCs w:val="32"/>
        </w:rPr>
        <w:t>,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 xml:space="preserve">где </w:t>
      </w:r>
      <w:r w:rsidRPr="006345A9">
        <w:rPr>
          <w:rFonts w:ascii="Times New Roman" w:hAnsi="Times New Roman"/>
          <w:i/>
          <w:iCs/>
          <w:sz w:val="32"/>
          <w:szCs w:val="32"/>
        </w:rPr>
        <w:t>У</w:t>
      </w:r>
      <w:proofErr w:type="gramStart"/>
      <w:r w:rsidRPr="006345A9">
        <w:rPr>
          <w:rFonts w:ascii="Times New Roman" w:hAnsi="Times New Roman"/>
          <w:sz w:val="32"/>
          <w:szCs w:val="32"/>
          <w:vertAlign w:val="subscript"/>
        </w:rPr>
        <w:t>1</w:t>
      </w:r>
      <w:proofErr w:type="gramEnd"/>
      <w:r w:rsidRPr="006345A9">
        <w:rPr>
          <w:rFonts w:ascii="Times New Roman" w:hAnsi="Times New Roman"/>
          <w:sz w:val="32"/>
          <w:szCs w:val="32"/>
        </w:rPr>
        <w:t xml:space="preserve">, </w:t>
      </w:r>
      <w:r w:rsidRPr="006345A9">
        <w:rPr>
          <w:rFonts w:ascii="Times New Roman" w:hAnsi="Times New Roman"/>
          <w:i/>
          <w:iCs/>
          <w:sz w:val="32"/>
          <w:szCs w:val="32"/>
        </w:rPr>
        <w:t>У</w:t>
      </w:r>
      <w:r w:rsidRPr="006345A9">
        <w:rPr>
          <w:rFonts w:ascii="Times New Roman" w:hAnsi="Times New Roman"/>
          <w:sz w:val="32"/>
          <w:szCs w:val="32"/>
          <w:vertAlign w:val="subscript"/>
        </w:rPr>
        <w:t>2</w:t>
      </w:r>
      <w:r w:rsidRPr="006345A9">
        <w:rPr>
          <w:rFonts w:ascii="Times New Roman" w:hAnsi="Times New Roman"/>
          <w:sz w:val="32"/>
          <w:szCs w:val="32"/>
        </w:rPr>
        <w:t xml:space="preserve"> – удельные годовые нормы накопления отходов в первый и последний годы эксплуатации полигона, т/чел.; 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i/>
          <w:iCs/>
          <w:sz w:val="32"/>
          <w:szCs w:val="32"/>
        </w:rPr>
        <w:t>Н</w:t>
      </w:r>
      <w:proofErr w:type="gramStart"/>
      <w:r w:rsidRPr="006345A9">
        <w:rPr>
          <w:rFonts w:ascii="Times New Roman" w:hAnsi="Times New Roman"/>
          <w:sz w:val="32"/>
          <w:szCs w:val="32"/>
          <w:vertAlign w:val="subscript"/>
        </w:rPr>
        <w:t>1</w:t>
      </w:r>
      <w:proofErr w:type="gramEnd"/>
      <w:r w:rsidRPr="006345A9">
        <w:rPr>
          <w:rFonts w:ascii="Times New Roman" w:hAnsi="Times New Roman"/>
          <w:sz w:val="32"/>
          <w:szCs w:val="32"/>
        </w:rPr>
        <w:t xml:space="preserve">, </w:t>
      </w:r>
      <w:r w:rsidRPr="006345A9">
        <w:rPr>
          <w:rFonts w:ascii="Times New Roman" w:hAnsi="Times New Roman"/>
          <w:i/>
          <w:iCs/>
          <w:sz w:val="32"/>
          <w:szCs w:val="32"/>
        </w:rPr>
        <w:t>Н</w:t>
      </w:r>
      <w:r w:rsidRPr="006345A9">
        <w:rPr>
          <w:rFonts w:ascii="Times New Roman" w:hAnsi="Times New Roman"/>
          <w:sz w:val="32"/>
          <w:szCs w:val="32"/>
          <w:vertAlign w:val="subscript"/>
        </w:rPr>
        <w:t>2</w:t>
      </w:r>
      <w:r w:rsidRPr="006345A9">
        <w:rPr>
          <w:rFonts w:ascii="Times New Roman" w:hAnsi="Times New Roman"/>
          <w:sz w:val="32"/>
          <w:szCs w:val="32"/>
        </w:rPr>
        <w:t xml:space="preserve"> – численность населения, обслуживаемого полигоном, на первый и последний годы эксплуатации, чел.; 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i/>
          <w:iCs/>
          <w:sz w:val="32"/>
          <w:szCs w:val="32"/>
        </w:rPr>
        <w:t>Т</w:t>
      </w:r>
      <w:r w:rsidRPr="006345A9">
        <w:rPr>
          <w:rFonts w:ascii="Times New Roman" w:hAnsi="Times New Roman"/>
          <w:sz w:val="32"/>
          <w:szCs w:val="32"/>
        </w:rPr>
        <w:t xml:space="preserve"> – расчетный срок эксплуатации полигона, годы; 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i/>
          <w:iCs/>
          <w:sz w:val="32"/>
          <w:szCs w:val="32"/>
        </w:rPr>
        <w:t>К</w:t>
      </w:r>
      <w:proofErr w:type="gramStart"/>
      <w:r w:rsidRPr="006345A9">
        <w:rPr>
          <w:rFonts w:ascii="Times New Roman" w:hAnsi="Times New Roman"/>
          <w:sz w:val="32"/>
          <w:szCs w:val="32"/>
          <w:vertAlign w:val="subscript"/>
        </w:rPr>
        <w:t>1</w:t>
      </w:r>
      <w:proofErr w:type="gramEnd"/>
      <w:r w:rsidRPr="006345A9">
        <w:rPr>
          <w:rFonts w:ascii="Times New Roman" w:hAnsi="Times New Roman"/>
          <w:sz w:val="32"/>
          <w:szCs w:val="32"/>
        </w:rPr>
        <w:t xml:space="preserve"> – коэффициент уплотнения ТБО, равный отношению плотности ТБО после уплотнения к плотности ТБО, доставляемых мусоровозами на полигон (зависит от массы грунтоуплотняющей машины и толщины изолирующего слоя); 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i/>
          <w:iCs/>
          <w:sz w:val="32"/>
          <w:szCs w:val="32"/>
        </w:rPr>
        <w:t>К</w:t>
      </w:r>
      <w:proofErr w:type="gramStart"/>
      <w:r w:rsidRPr="006345A9">
        <w:rPr>
          <w:rFonts w:ascii="Times New Roman" w:hAnsi="Times New Roman"/>
          <w:sz w:val="32"/>
          <w:szCs w:val="32"/>
          <w:vertAlign w:val="subscript"/>
        </w:rPr>
        <w:t>2</w:t>
      </w:r>
      <w:proofErr w:type="gramEnd"/>
      <w:r w:rsidRPr="006345A9">
        <w:rPr>
          <w:rFonts w:ascii="Times New Roman" w:hAnsi="Times New Roman"/>
          <w:sz w:val="32"/>
          <w:szCs w:val="32"/>
        </w:rPr>
        <w:t xml:space="preserve"> – коэффициент, учитывающий увеличение объема полигона за счет устройства наружных и внутренних изолирующих слоев (зависит от изолирующего материала – грунта, забираемого из основания полигона, или привозного).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i/>
          <w:iCs/>
          <w:sz w:val="32"/>
          <w:szCs w:val="32"/>
        </w:rPr>
      </w:pPr>
      <w:r w:rsidRPr="006345A9">
        <w:rPr>
          <w:sz w:val="32"/>
          <w:szCs w:val="32"/>
        </w:rPr>
        <w:lastRenderedPageBreak/>
        <w:t>Удельная годовая норма накопления ТБО по объёму за 2-й год эксплуат</w:t>
      </w:r>
      <w:r w:rsidR="009C670E">
        <w:rPr>
          <w:sz w:val="32"/>
          <w:szCs w:val="32"/>
        </w:rPr>
        <w:t>ации определяется из условия еже</w:t>
      </w:r>
      <w:r w:rsidRPr="006345A9">
        <w:rPr>
          <w:sz w:val="32"/>
          <w:szCs w:val="32"/>
        </w:rPr>
        <w:t>годного роста её по объёму на 3 %, то есть</w:t>
      </w:r>
      <w:r>
        <w:rPr>
          <w:sz w:val="32"/>
          <w:szCs w:val="32"/>
        </w:rPr>
        <w:t xml:space="preserve"> </w:t>
      </w:r>
      <w:r w:rsidRPr="006345A9">
        <w:rPr>
          <w:i/>
          <w:iCs/>
          <w:sz w:val="32"/>
          <w:szCs w:val="32"/>
        </w:rPr>
        <w:t>У</w:t>
      </w:r>
      <w:proofErr w:type="gramStart"/>
      <w:r w:rsidRPr="006345A9">
        <w:rPr>
          <w:sz w:val="32"/>
          <w:szCs w:val="32"/>
          <w:vertAlign w:val="subscript"/>
        </w:rPr>
        <w:t>2</w:t>
      </w:r>
      <w:proofErr w:type="gramEnd"/>
      <w:r w:rsidRPr="006345A9">
        <w:rPr>
          <w:sz w:val="32"/>
          <w:szCs w:val="32"/>
        </w:rPr>
        <w:t xml:space="preserve"> = </w:t>
      </w:r>
      <w:r w:rsidRPr="006345A9">
        <w:rPr>
          <w:i/>
          <w:iCs/>
          <w:sz w:val="32"/>
          <w:szCs w:val="32"/>
        </w:rPr>
        <w:t>У</w:t>
      </w:r>
      <w:r w:rsidRPr="006345A9">
        <w:rPr>
          <w:sz w:val="32"/>
          <w:szCs w:val="32"/>
          <w:vertAlign w:val="subscript"/>
        </w:rPr>
        <w:t>1</w:t>
      </w:r>
      <w:r w:rsidRPr="006345A9">
        <w:rPr>
          <w:sz w:val="32"/>
          <w:szCs w:val="32"/>
        </w:rPr>
        <w:t xml:space="preserve"> + (1,03)</w:t>
      </w:r>
      <w:r w:rsidRPr="006345A9">
        <w:rPr>
          <w:i/>
          <w:iCs/>
          <w:sz w:val="32"/>
          <w:szCs w:val="32"/>
        </w:rPr>
        <w:t xml:space="preserve"> Т.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>Коэффициент К</w:t>
      </w:r>
      <w:r w:rsidRPr="006345A9">
        <w:rPr>
          <w:sz w:val="32"/>
          <w:szCs w:val="32"/>
          <w:vertAlign w:val="subscript"/>
        </w:rPr>
        <w:t>1</w:t>
      </w:r>
      <w:r w:rsidRPr="006345A9">
        <w:rPr>
          <w:sz w:val="32"/>
          <w:szCs w:val="32"/>
        </w:rPr>
        <w:t>, учитывающий уплотнение ТБО в процессе эксплуатации полигона за весь срок</w:t>
      </w:r>
      <w:proofErr w:type="gramStart"/>
      <w:r w:rsidRPr="006345A9">
        <w:rPr>
          <w:sz w:val="32"/>
          <w:szCs w:val="32"/>
        </w:rPr>
        <w:t xml:space="preserve"> Т</w:t>
      </w:r>
      <w:proofErr w:type="gramEnd"/>
      <w:r w:rsidRPr="006345A9">
        <w:rPr>
          <w:sz w:val="32"/>
          <w:szCs w:val="32"/>
        </w:rPr>
        <w:t xml:space="preserve"> определяется по таблице с учётом массы бульдозера или катка: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29"/>
          <w:szCs w:val="29"/>
        </w:rPr>
      </w:pPr>
    </w:p>
    <w:p w:rsidR="009163D3" w:rsidRPr="006345A9" w:rsidRDefault="009163D3" w:rsidP="009163D3">
      <w:pPr>
        <w:pStyle w:val="2"/>
        <w:tabs>
          <w:tab w:val="left" w:pos="851"/>
        </w:tabs>
        <w:ind w:firstLine="0"/>
        <w:rPr>
          <w:sz w:val="29"/>
          <w:szCs w:val="29"/>
          <w:vertAlign w:val="subscript"/>
        </w:rPr>
      </w:pPr>
      <w:r w:rsidRPr="006345A9">
        <w:rPr>
          <w:sz w:val="29"/>
          <w:szCs w:val="29"/>
        </w:rPr>
        <w:t>Таблица</w:t>
      </w:r>
      <w:r>
        <w:rPr>
          <w:sz w:val="29"/>
          <w:szCs w:val="29"/>
        </w:rPr>
        <w:t xml:space="preserve"> 1</w:t>
      </w:r>
      <w:r w:rsidRPr="006345A9">
        <w:rPr>
          <w:sz w:val="29"/>
          <w:szCs w:val="29"/>
        </w:rPr>
        <w:t xml:space="preserve"> – Возможные значения коэффициента К</w:t>
      </w:r>
      <w:proofErr w:type="gramStart"/>
      <w:r w:rsidRPr="006345A9">
        <w:rPr>
          <w:sz w:val="29"/>
          <w:szCs w:val="29"/>
          <w:vertAlign w:val="subscript"/>
        </w:rPr>
        <w:t>1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63D3" w:rsidRPr="006345A9" w:rsidTr="00985E60"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 xml:space="preserve">Масса бульдозера или катка, </w:t>
            </w:r>
            <w:proofErr w:type="gramStart"/>
            <w:r w:rsidRPr="006345A9">
              <w:rPr>
                <w:sz w:val="29"/>
                <w:szCs w:val="29"/>
              </w:rPr>
              <w:t>т</w:t>
            </w:r>
            <w:proofErr w:type="gramEnd"/>
          </w:p>
        </w:tc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 xml:space="preserve">Полная проектируемая высота полигона, </w:t>
            </w:r>
            <w:proofErr w:type="gramStart"/>
            <w:r w:rsidRPr="006345A9">
              <w:rPr>
                <w:sz w:val="29"/>
                <w:szCs w:val="29"/>
              </w:rPr>
              <w:t>м</w:t>
            </w:r>
            <w:proofErr w:type="gramEnd"/>
          </w:p>
        </w:tc>
        <w:tc>
          <w:tcPr>
            <w:tcW w:w="3191" w:type="dxa"/>
            <w:vAlign w:val="center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К</w:t>
            </w:r>
            <w:proofErr w:type="gramStart"/>
            <w:r w:rsidRPr="006345A9">
              <w:rPr>
                <w:sz w:val="29"/>
                <w:szCs w:val="29"/>
                <w:vertAlign w:val="subscript"/>
              </w:rPr>
              <w:t>1</w:t>
            </w:r>
            <w:proofErr w:type="gramEnd"/>
          </w:p>
        </w:tc>
      </w:tr>
      <w:tr w:rsidR="009163D3" w:rsidRPr="006345A9" w:rsidTr="00985E60"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3-6</w:t>
            </w:r>
          </w:p>
        </w:tc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20-30</w:t>
            </w:r>
          </w:p>
        </w:tc>
        <w:tc>
          <w:tcPr>
            <w:tcW w:w="3191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3,0</w:t>
            </w:r>
          </w:p>
        </w:tc>
      </w:tr>
      <w:tr w:rsidR="009163D3" w:rsidRPr="006345A9" w:rsidTr="00985E60"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12-14</w:t>
            </w:r>
          </w:p>
        </w:tc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менее 20</w:t>
            </w:r>
          </w:p>
        </w:tc>
        <w:tc>
          <w:tcPr>
            <w:tcW w:w="3191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3,7</w:t>
            </w:r>
          </w:p>
        </w:tc>
      </w:tr>
      <w:tr w:rsidR="009163D3" w:rsidRPr="006345A9" w:rsidTr="00985E60"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12-14</w:t>
            </w:r>
          </w:p>
        </w:tc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20-30</w:t>
            </w:r>
          </w:p>
        </w:tc>
        <w:tc>
          <w:tcPr>
            <w:tcW w:w="3191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4,0</w:t>
            </w:r>
          </w:p>
        </w:tc>
      </w:tr>
      <w:tr w:rsidR="009163D3" w:rsidRPr="006345A9" w:rsidTr="00985E60"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20-22</w:t>
            </w:r>
          </w:p>
        </w:tc>
        <w:tc>
          <w:tcPr>
            <w:tcW w:w="319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50 и более</w:t>
            </w:r>
          </w:p>
        </w:tc>
        <w:tc>
          <w:tcPr>
            <w:tcW w:w="3191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4,5</w:t>
            </w:r>
          </w:p>
        </w:tc>
      </w:tr>
    </w:tbl>
    <w:p w:rsidR="009163D3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>Коэффициент К</w:t>
      </w:r>
      <w:proofErr w:type="gramStart"/>
      <w:r w:rsidRPr="006345A9">
        <w:rPr>
          <w:sz w:val="32"/>
          <w:szCs w:val="32"/>
          <w:vertAlign w:val="subscript"/>
        </w:rPr>
        <w:t>2</w:t>
      </w:r>
      <w:proofErr w:type="gramEnd"/>
      <w:r w:rsidRPr="006345A9">
        <w:rPr>
          <w:sz w:val="32"/>
          <w:szCs w:val="32"/>
          <w:lang w:val="be-BY"/>
        </w:rPr>
        <w:t xml:space="preserve">, </w:t>
      </w:r>
      <w:r w:rsidRPr="006345A9">
        <w:rPr>
          <w:sz w:val="32"/>
          <w:szCs w:val="32"/>
        </w:rPr>
        <w:t>учитывающий объём изолирующих слоёв грунта, в зависимости от общей высоты, определяется по таблице</w:t>
      </w:r>
      <w:r>
        <w:rPr>
          <w:sz w:val="32"/>
          <w:szCs w:val="32"/>
        </w:rPr>
        <w:t xml:space="preserve"> 2</w:t>
      </w:r>
      <w:r w:rsidRPr="006345A9">
        <w:rPr>
          <w:sz w:val="32"/>
          <w:szCs w:val="32"/>
        </w:rPr>
        <w:t>.</w:t>
      </w:r>
    </w:p>
    <w:p w:rsidR="009163D3" w:rsidRPr="008314A3" w:rsidRDefault="009163D3" w:rsidP="009163D3">
      <w:pPr>
        <w:pStyle w:val="2"/>
        <w:tabs>
          <w:tab w:val="left" w:pos="851"/>
        </w:tabs>
        <w:ind w:firstLine="709"/>
        <w:rPr>
          <w:sz w:val="29"/>
          <w:szCs w:val="29"/>
        </w:rPr>
      </w:pPr>
    </w:p>
    <w:p w:rsidR="009163D3" w:rsidRPr="006345A9" w:rsidRDefault="009163D3" w:rsidP="009163D3">
      <w:pPr>
        <w:pStyle w:val="2"/>
        <w:tabs>
          <w:tab w:val="left" w:pos="851"/>
        </w:tabs>
        <w:ind w:firstLine="0"/>
        <w:rPr>
          <w:sz w:val="29"/>
          <w:szCs w:val="29"/>
        </w:rPr>
      </w:pPr>
      <w:r w:rsidRPr="006345A9">
        <w:rPr>
          <w:sz w:val="29"/>
          <w:szCs w:val="29"/>
        </w:rPr>
        <w:t>Таблица 2 – Возможные значения коэффициента К</w:t>
      </w:r>
      <w:proofErr w:type="gramStart"/>
      <w:r w:rsidRPr="006345A9">
        <w:rPr>
          <w:sz w:val="29"/>
          <w:szCs w:val="29"/>
          <w:vertAlign w:val="subscript"/>
        </w:rPr>
        <w:t>2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080"/>
        <w:gridCol w:w="900"/>
        <w:gridCol w:w="1080"/>
        <w:gridCol w:w="1080"/>
        <w:gridCol w:w="1080"/>
        <w:gridCol w:w="900"/>
        <w:gridCol w:w="1260"/>
      </w:tblGrid>
      <w:tr w:rsidR="009163D3" w:rsidRPr="006345A9" w:rsidTr="00985E60">
        <w:tc>
          <w:tcPr>
            <w:tcW w:w="1548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 xml:space="preserve">Высота, </w:t>
            </w:r>
            <w:proofErr w:type="gramStart"/>
            <w:r w:rsidRPr="006345A9">
              <w:rPr>
                <w:sz w:val="29"/>
                <w:szCs w:val="29"/>
              </w:rPr>
              <w:t>м</w:t>
            </w:r>
            <w:proofErr w:type="gramEnd"/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5,25</w:t>
            </w:r>
          </w:p>
        </w:tc>
        <w:tc>
          <w:tcPr>
            <w:tcW w:w="90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7,50</w:t>
            </w:r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9,75</w:t>
            </w:r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right="-108"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12-15</w:t>
            </w:r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right="-108"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16-39</w:t>
            </w:r>
          </w:p>
        </w:tc>
        <w:tc>
          <w:tcPr>
            <w:tcW w:w="90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right="-108"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40-50</w:t>
            </w:r>
          </w:p>
        </w:tc>
        <w:tc>
          <w:tcPr>
            <w:tcW w:w="1260" w:type="dxa"/>
          </w:tcPr>
          <w:p w:rsidR="009163D3" w:rsidRPr="006345A9" w:rsidRDefault="009163D3" w:rsidP="00985E60">
            <w:pPr>
              <w:pStyle w:val="2"/>
              <w:tabs>
                <w:tab w:val="left" w:pos="996"/>
                <w:tab w:val="left" w:pos="1137"/>
              </w:tabs>
              <w:ind w:left="-138" w:right="-143"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Более 50</w:t>
            </w:r>
          </w:p>
        </w:tc>
      </w:tr>
      <w:tr w:rsidR="009163D3" w:rsidRPr="006345A9" w:rsidTr="00985E60">
        <w:tc>
          <w:tcPr>
            <w:tcW w:w="1548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К</w:t>
            </w:r>
            <w:proofErr w:type="gramStart"/>
            <w:r w:rsidRPr="006345A9">
              <w:rPr>
                <w:sz w:val="29"/>
                <w:szCs w:val="29"/>
                <w:vertAlign w:val="sub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1,37</w:t>
            </w:r>
          </w:p>
        </w:tc>
        <w:tc>
          <w:tcPr>
            <w:tcW w:w="90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1,27</w:t>
            </w:r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1,25</w:t>
            </w:r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1,22</w:t>
            </w:r>
          </w:p>
        </w:tc>
        <w:tc>
          <w:tcPr>
            <w:tcW w:w="108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1,20</w:t>
            </w:r>
          </w:p>
        </w:tc>
        <w:tc>
          <w:tcPr>
            <w:tcW w:w="90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1,18</w:t>
            </w:r>
          </w:p>
        </w:tc>
        <w:tc>
          <w:tcPr>
            <w:tcW w:w="1260" w:type="dxa"/>
          </w:tcPr>
          <w:p w:rsidR="009163D3" w:rsidRPr="006345A9" w:rsidRDefault="009163D3" w:rsidP="00985E60">
            <w:pPr>
              <w:pStyle w:val="2"/>
              <w:tabs>
                <w:tab w:val="left" w:pos="851"/>
              </w:tabs>
              <w:ind w:right="-143" w:firstLine="0"/>
              <w:jc w:val="center"/>
              <w:rPr>
                <w:sz w:val="29"/>
                <w:szCs w:val="29"/>
              </w:rPr>
            </w:pPr>
            <w:r w:rsidRPr="006345A9">
              <w:rPr>
                <w:sz w:val="29"/>
                <w:szCs w:val="29"/>
              </w:rPr>
              <w:t>1,16</w:t>
            </w:r>
          </w:p>
        </w:tc>
      </w:tr>
    </w:tbl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29"/>
          <w:szCs w:val="29"/>
        </w:rPr>
      </w:pP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>Площадь участка складирования ТБО определяется по формуле:</w:t>
      </w:r>
    </w:p>
    <w:p w:rsidR="009163D3" w:rsidRPr="006345A9" w:rsidRDefault="009163D3" w:rsidP="009163D3">
      <w:pPr>
        <w:pStyle w:val="2"/>
        <w:tabs>
          <w:tab w:val="left" w:pos="851"/>
        </w:tabs>
        <w:ind w:firstLine="0"/>
        <w:jc w:val="center"/>
        <w:rPr>
          <w:sz w:val="32"/>
          <w:szCs w:val="32"/>
        </w:rPr>
      </w:pPr>
      <w:r w:rsidRPr="006345A9">
        <w:rPr>
          <w:sz w:val="32"/>
          <w:szCs w:val="32"/>
          <w:lang w:val="en-US"/>
        </w:rPr>
        <w:t>S</w:t>
      </w:r>
      <w:r w:rsidRPr="006345A9">
        <w:rPr>
          <w:sz w:val="32"/>
          <w:szCs w:val="32"/>
          <w:vertAlign w:val="subscript"/>
        </w:rPr>
        <w:t>У.С.</w:t>
      </w:r>
      <w:r w:rsidRPr="006345A9">
        <w:rPr>
          <w:sz w:val="32"/>
          <w:szCs w:val="32"/>
        </w:rPr>
        <w:t xml:space="preserve"> = 3</w:t>
      </w:r>
      <w:r w:rsidRPr="006345A9">
        <w:rPr>
          <w:i/>
          <w:iCs/>
          <w:sz w:val="32"/>
          <w:szCs w:val="32"/>
          <w:lang w:val="en-US"/>
        </w:rPr>
        <w:t>V</w:t>
      </w:r>
      <w:r w:rsidRPr="006345A9">
        <w:rPr>
          <w:i/>
          <w:iCs/>
          <w:sz w:val="32"/>
          <w:szCs w:val="32"/>
          <w:vertAlign w:val="subscript"/>
        </w:rPr>
        <w:t xml:space="preserve">П </w:t>
      </w:r>
      <w:r w:rsidRPr="006345A9">
        <w:rPr>
          <w:iCs/>
          <w:sz w:val="32"/>
          <w:szCs w:val="32"/>
        </w:rPr>
        <w:t>/ Н,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>где Н – проектируемая высота полигона, м.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>Требуемая площадь полигона составит:</w:t>
      </w:r>
    </w:p>
    <w:p w:rsidR="009163D3" w:rsidRPr="006345A9" w:rsidRDefault="009163D3" w:rsidP="009163D3">
      <w:pPr>
        <w:pStyle w:val="2"/>
        <w:tabs>
          <w:tab w:val="left" w:pos="851"/>
        </w:tabs>
        <w:ind w:firstLine="0"/>
        <w:jc w:val="center"/>
        <w:rPr>
          <w:sz w:val="32"/>
          <w:szCs w:val="32"/>
        </w:rPr>
      </w:pPr>
      <w:r w:rsidRPr="006345A9">
        <w:rPr>
          <w:sz w:val="32"/>
          <w:szCs w:val="32"/>
          <w:lang w:val="en-US"/>
        </w:rPr>
        <w:t>S</w:t>
      </w:r>
      <w:r w:rsidRPr="006345A9">
        <w:rPr>
          <w:sz w:val="32"/>
          <w:szCs w:val="32"/>
        </w:rPr>
        <w:t xml:space="preserve"> = 1</w:t>
      </w:r>
      <w:proofErr w:type="gramStart"/>
      <w:r w:rsidRPr="006345A9">
        <w:rPr>
          <w:sz w:val="32"/>
          <w:szCs w:val="32"/>
        </w:rPr>
        <w:t>,1</w:t>
      </w:r>
      <w:proofErr w:type="gramEnd"/>
      <w:r w:rsidRPr="006345A9">
        <w:rPr>
          <w:sz w:val="32"/>
          <w:szCs w:val="32"/>
        </w:rPr>
        <w:t xml:space="preserve"> </w:t>
      </w:r>
      <w:r w:rsidRPr="006345A9">
        <w:rPr>
          <w:sz w:val="32"/>
          <w:szCs w:val="32"/>
          <w:lang w:val="en-US"/>
        </w:rPr>
        <w:t>S</w:t>
      </w:r>
      <w:r w:rsidRPr="006345A9">
        <w:rPr>
          <w:sz w:val="32"/>
          <w:szCs w:val="32"/>
          <w:vertAlign w:val="subscript"/>
        </w:rPr>
        <w:t>У.С.</w:t>
      </w:r>
      <w:r w:rsidRPr="006345A9">
        <w:rPr>
          <w:sz w:val="32"/>
          <w:szCs w:val="32"/>
        </w:rPr>
        <w:t xml:space="preserve"> + </w:t>
      </w:r>
      <w:proofErr w:type="gramStart"/>
      <w:r w:rsidRPr="006345A9">
        <w:rPr>
          <w:sz w:val="32"/>
          <w:szCs w:val="32"/>
          <w:lang w:val="en-US"/>
        </w:rPr>
        <w:t>S</w:t>
      </w:r>
      <w:proofErr w:type="spellStart"/>
      <w:proofErr w:type="gramEnd"/>
      <w:r w:rsidRPr="006345A9">
        <w:rPr>
          <w:sz w:val="32"/>
          <w:szCs w:val="32"/>
          <w:vertAlign w:val="subscript"/>
        </w:rPr>
        <w:t>доп</w:t>
      </w:r>
      <w:proofErr w:type="spellEnd"/>
      <w:r w:rsidRPr="006345A9">
        <w:rPr>
          <w:sz w:val="32"/>
          <w:szCs w:val="32"/>
        </w:rPr>
        <w:t>,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 xml:space="preserve">где </w:t>
      </w:r>
      <w:proofErr w:type="gramStart"/>
      <w:r w:rsidRPr="006345A9">
        <w:rPr>
          <w:sz w:val="32"/>
          <w:szCs w:val="32"/>
          <w:lang w:val="en-US"/>
        </w:rPr>
        <w:t>S</w:t>
      </w:r>
      <w:proofErr w:type="spellStart"/>
      <w:proofErr w:type="gramEnd"/>
      <w:r w:rsidRPr="006345A9">
        <w:rPr>
          <w:sz w:val="32"/>
          <w:szCs w:val="32"/>
          <w:vertAlign w:val="subscript"/>
        </w:rPr>
        <w:t>доп</w:t>
      </w:r>
      <w:proofErr w:type="spellEnd"/>
      <w:r w:rsidRPr="006345A9">
        <w:rPr>
          <w:sz w:val="32"/>
          <w:szCs w:val="32"/>
        </w:rPr>
        <w:t xml:space="preserve"> – площадь участка хозяйственной зоны и площадки мойки контейнера (в среднем </w:t>
      </w:r>
      <w:r w:rsidRPr="006345A9">
        <w:rPr>
          <w:sz w:val="32"/>
          <w:szCs w:val="32"/>
          <w:lang w:val="en-US"/>
        </w:rPr>
        <w:t>S</w:t>
      </w:r>
      <w:proofErr w:type="spellStart"/>
      <w:r w:rsidRPr="006345A9">
        <w:rPr>
          <w:sz w:val="32"/>
          <w:szCs w:val="32"/>
          <w:vertAlign w:val="subscript"/>
        </w:rPr>
        <w:t>доп</w:t>
      </w:r>
      <w:proofErr w:type="spellEnd"/>
      <w:r w:rsidRPr="006345A9">
        <w:rPr>
          <w:sz w:val="32"/>
          <w:szCs w:val="32"/>
        </w:rPr>
        <w:t xml:space="preserve"> = 1,0 га).</w:t>
      </w:r>
    </w:p>
    <w:p w:rsidR="009163D3" w:rsidRPr="006345A9" w:rsidRDefault="009163D3" w:rsidP="009163D3">
      <w:pPr>
        <w:pStyle w:val="2"/>
        <w:tabs>
          <w:tab w:val="left" w:pos="851"/>
        </w:tabs>
        <w:ind w:firstLine="709"/>
        <w:rPr>
          <w:sz w:val="32"/>
          <w:szCs w:val="32"/>
        </w:rPr>
      </w:pPr>
      <w:r w:rsidRPr="006345A9">
        <w:rPr>
          <w:sz w:val="32"/>
          <w:szCs w:val="32"/>
        </w:rPr>
        <w:t xml:space="preserve">Нормируемый размер санитарно-защитной зоны полигона составляет 500 м. Создание полигонов и СЗЗ вокруг них требует отчуждения больших земельных площадей (40…200 га). Полигоны нельзя размещать ближе 15 км от аэропортов. Не допускается размещение полигонов на территории 1-го и 2-го поясов зон санитарной охраны </w:t>
      </w:r>
      <w:proofErr w:type="spellStart"/>
      <w:r w:rsidRPr="006345A9">
        <w:rPr>
          <w:sz w:val="32"/>
          <w:szCs w:val="32"/>
        </w:rPr>
        <w:t>водоисточников</w:t>
      </w:r>
      <w:proofErr w:type="spellEnd"/>
      <w:r w:rsidRPr="006345A9">
        <w:rPr>
          <w:sz w:val="32"/>
          <w:szCs w:val="32"/>
        </w:rPr>
        <w:t>, в местах массового отдыха населения и оздоровительных учреждений.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 xml:space="preserve">При выборе участка для размещения полигона учитывают гидрологические условия местности. Грунтовые воды на участке полигона должны залегать на глубине более 2 м. Нельзя использовать под полигоны болота, затопляемые территории, районы геологических </w:t>
      </w:r>
      <w:r w:rsidRPr="006345A9">
        <w:rPr>
          <w:rFonts w:ascii="Times New Roman" w:hAnsi="Times New Roman"/>
          <w:sz w:val="32"/>
          <w:szCs w:val="32"/>
        </w:rPr>
        <w:lastRenderedPageBreak/>
        <w:t>разломов. Предпочтение отдается участкам залегания водоупорных пород – глин, суглинков.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На количественную характеристику выбросов загрязняющих веществ с полигонов отходов влияет большое количество факторов, среди которых: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климатические условия;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рабочая (активная) площадь полигона;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сроки эксплуатации полигона;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количество захороненных отходов;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мощность слоя складированных отходов;</w:t>
      </w:r>
    </w:p>
    <w:p w:rsidR="009163D3" w:rsidRPr="006345A9" w:rsidRDefault="009163D3" w:rsidP="009163D3">
      <w:pPr>
        <w:ind w:firstLine="709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соотношение количеств завезённых бытовых и промышленных отходов;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морфологический состав завезённых отходов;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влажность отходов;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содержание органической составляющей в отходах;</w:t>
      </w:r>
    </w:p>
    <w:p w:rsidR="009163D3" w:rsidRPr="006345A9" w:rsidRDefault="009163D3" w:rsidP="009163D3">
      <w:pPr>
        <w:ind w:firstLine="709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 xml:space="preserve">– содержание жироподобных, </w:t>
      </w:r>
      <w:proofErr w:type="spellStart"/>
      <w:r w:rsidRPr="006345A9">
        <w:rPr>
          <w:rFonts w:ascii="Times New Roman" w:hAnsi="Times New Roman"/>
          <w:sz w:val="32"/>
          <w:szCs w:val="32"/>
        </w:rPr>
        <w:t>углеводоподобных</w:t>
      </w:r>
      <w:proofErr w:type="spellEnd"/>
      <w:r w:rsidRPr="006345A9">
        <w:rPr>
          <w:rFonts w:ascii="Times New Roman" w:hAnsi="Times New Roman"/>
          <w:sz w:val="32"/>
          <w:szCs w:val="32"/>
        </w:rPr>
        <w:t xml:space="preserve"> и белковых веществ в органике отходов;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– технология захоронения отходов.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 xml:space="preserve">Продуктом анаэробного разложения органической составляющей отходов является биогаз, </w:t>
      </w:r>
      <w:proofErr w:type="gramStart"/>
      <w:r w:rsidRPr="006345A9">
        <w:rPr>
          <w:rFonts w:ascii="Times New Roman" w:hAnsi="Times New Roman"/>
          <w:sz w:val="32"/>
          <w:szCs w:val="32"/>
        </w:rPr>
        <w:t>представляющий</w:t>
      </w:r>
      <w:proofErr w:type="gramEnd"/>
      <w:r w:rsidRPr="006345A9">
        <w:rPr>
          <w:rFonts w:ascii="Times New Roman" w:hAnsi="Times New Roman"/>
          <w:sz w:val="32"/>
          <w:szCs w:val="32"/>
        </w:rPr>
        <w:t xml:space="preserve"> собой в основном смесь метана и углекислого газа. Система сбора биогаза состоит из нескольких рядов вертикальных колодцев (</w:t>
      </w:r>
      <w:proofErr w:type="spellStart"/>
      <w:r w:rsidRPr="006345A9">
        <w:rPr>
          <w:rFonts w:ascii="Times New Roman" w:hAnsi="Times New Roman"/>
          <w:sz w:val="32"/>
          <w:szCs w:val="32"/>
        </w:rPr>
        <w:t>газодренажных</w:t>
      </w:r>
      <w:proofErr w:type="spellEnd"/>
      <w:r w:rsidRPr="006345A9">
        <w:rPr>
          <w:rFonts w:ascii="Times New Roman" w:hAnsi="Times New Roman"/>
          <w:sz w:val="32"/>
          <w:szCs w:val="32"/>
        </w:rPr>
        <w:t xml:space="preserve"> скважин) или горизонтальных траншей. </w:t>
      </w:r>
      <w:proofErr w:type="gramStart"/>
      <w:r w:rsidRPr="006345A9">
        <w:rPr>
          <w:rFonts w:ascii="Times New Roman" w:hAnsi="Times New Roman"/>
          <w:sz w:val="32"/>
          <w:szCs w:val="32"/>
        </w:rPr>
        <w:t>Последние</w:t>
      </w:r>
      <w:proofErr w:type="gramEnd"/>
      <w:r w:rsidRPr="006345A9">
        <w:rPr>
          <w:rFonts w:ascii="Times New Roman" w:hAnsi="Times New Roman"/>
          <w:sz w:val="32"/>
          <w:szCs w:val="32"/>
        </w:rPr>
        <w:t xml:space="preserve"> заполнены песком или щебнем и перфорированными трубами.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Удельный выход биогаза за период его активной стабилизированной генерации при метановом брожении применительно к абсолютно сухому веществу отходов определяется по уравнению:</w:t>
      </w:r>
    </w:p>
    <w:p w:rsidR="009163D3" w:rsidRPr="006345A9" w:rsidRDefault="009163D3" w:rsidP="009163D3">
      <w:pPr>
        <w:ind w:firstLine="709"/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0"/>
          <w:sz w:val="32"/>
          <w:szCs w:val="32"/>
        </w:rPr>
        <w:object w:dxaOrig="3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35pt;height:29.35pt" o:ole="">
            <v:imagedata r:id="rId6" o:title=""/>
          </v:shape>
          <o:OLEObject Type="Embed" ProgID="Equation.3" ShapeID="_x0000_i1025" DrawAspect="Content" ObjectID="_1585127726" r:id="rId7"/>
        </w:objec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где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Q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– удельный выход биогаза за период его активной генерации, </w:t>
      </w:r>
      <w:proofErr w:type="gramStart"/>
      <w:r w:rsidRPr="006345A9">
        <w:rPr>
          <w:rFonts w:ascii="Times New Roman" w:hAnsi="Times New Roman"/>
          <w:position w:val="-12"/>
          <w:sz w:val="32"/>
          <w:szCs w:val="32"/>
        </w:rPr>
        <w:t>кг</w:t>
      </w:r>
      <w:proofErr w:type="gramEnd"/>
      <w:r w:rsidRPr="006345A9">
        <w:rPr>
          <w:rFonts w:ascii="Times New Roman" w:hAnsi="Times New Roman"/>
          <w:position w:val="-12"/>
          <w:sz w:val="32"/>
          <w:szCs w:val="32"/>
        </w:rPr>
        <w:t xml:space="preserve">/кг отходов; 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R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– </w:t>
      </w:r>
      <w:proofErr w:type="gramStart"/>
      <w:r w:rsidRPr="006345A9">
        <w:rPr>
          <w:rFonts w:ascii="Times New Roman" w:hAnsi="Times New Roman"/>
          <w:position w:val="-12"/>
          <w:sz w:val="32"/>
          <w:szCs w:val="32"/>
        </w:rPr>
        <w:t>содержание</w:t>
      </w:r>
      <w:proofErr w:type="gramEnd"/>
      <w:r w:rsidRPr="006345A9">
        <w:rPr>
          <w:rFonts w:ascii="Times New Roman" w:hAnsi="Times New Roman"/>
          <w:position w:val="-12"/>
          <w:sz w:val="32"/>
          <w:szCs w:val="32"/>
        </w:rPr>
        <w:t xml:space="preserve"> органической составляющей в отходах, %; 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</w:rPr>
        <w:t>Ж</w:t>
      </w:r>
      <w:proofErr w:type="gramEnd"/>
      <w:r w:rsidRPr="006345A9">
        <w:rPr>
          <w:rFonts w:ascii="Times New Roman" w:hAnsi="Times New Roman"/>
          <w:position w:val="-12"/>
          <w:sz w:val="32"/>
          <w:szCs w:val="32"/>
        </w:rPr>
        <w:t xml:space="preserve"> – содержание жироподобных веществ в органике отходов, %; </w: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i/>
          <w:position w:val="-12"/>
          <w:sz w:val="32"/>
          <w:szCs w:val="32"/>
        </w:rPr>
        <w:t>У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– содержание </w:t>
      </w:r>
      <w:proofErr w:type="spellStart"/>
      <w:r w:rsidRPr="006345A9">
        <w:rPr>
          <w:rFonts w:ascii="Times New Roman" w:hAnsi="Times New Roman"/>
          <w:position w:val="-12"/>
          <w:sz w:val="32"/>
          <w:szCs w:val="32"/>
        </w:rPr>
        <w:t>углеводоподобных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 xml:space="preserve"> веществ в органике отходов</w:t>
      </w:r>
      <w:proofErr w:type="gramStart"/>
      <w:r w:rsidRPr="006345A9">
        <w:rPr>
          <w:rFonts w:ascii="Times New Roman" w:hAnsi="Times New Roman"/>
          <w:position w:val="-12"/>
          <w:sz w:val="32"/>
          <w:szCs w:val="32"/>
        </w:rPr>
        <w:t xml:space="preserve">, %; </w:t>
      </w:r>
      <w:proofErr w:type="gramEnd"/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</w:rPr>
        <w:t>Б</w:t>
      </w:r>
      <w:proofErr w:type="gramEnd"/>
      <w:r w:rsidRPr="006345A9">
        <w:rPr>
          <w:rFonts w:ascii="Times New Roman" w:hAnsi="Times New Roman"/>
          <w:position w:val="-12"/>
          <w:sz w:val="32"/>
          <w:szCs w:val="32"/>
        </w:rPr>
        <w:t xml:space="preserve"> – содержание белковых веществ в органике отходов, %. 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R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, </w:t>
      </w:r>
      <w:r w:rsidRPr="006345A9">
        <w:rPr>
          <w:rFonts w:ascii="Times New Roman" w:hAnsi="Times New Roman"/>
          <w:i/>
          <w:position w:val="-12"/>
          <w:sz w:val="32"/>
          <w:szCs w:val="32"/>
        </w:rPr>
        <w:t>Ж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, </w:t>
      </w:r>
      <w:r w:rsidRPr="006345A9">
        <w:rPr>
          <w:rFonts w:ascii="Times New Roman" w:hAnsi="Times New Roman"/>
          <w:i/>
          <w:position w:val="-12"/>
          <w:sz w:val="32"/>
          <w:szCs w:val="32"/>
        </w:rPr>
        <w:t>У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и </w:t>
      </w:r>
      <w:r w:rsidRPr="006345A9">
        <w:rPr>
          <w:rFonts w:ascii="Times New Roman" w:hAnsi="Times New Roman"/>
          <w:i/>
          <w:position w:val="-12"/>
          <w:sz w:val="32"/>
          <w:szCs w:val="32"/>
        </w:rPr>
        <w:t>Б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определяются анализами забираемых проб отходов.</w:t>
      </w:r>
      <w:proofErr w:type="gramEnd"/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 xml:space="preserve">В реальных условиях отходы содержат определённое количество влаги, которая сама по себе биогаз не генерирует. </w:t>
      </w:r>
      <w:proofErr w:type="gramStart"/>
      <w:r w:rsidRPr="006345A9">
        <w:rPr>
          <w:rFonts w:ascii="Times New Roman" w:hAnsi="Times New Roman"/>
          <w:sz w:val="32"/>
          <w:szCs w:val="32"/>
        </w:rPr>
        <w:t xml:space="preserve">Следовательно, выход биогаза, отнесённый к единице веса реальных влажных отходов, </w:t>
      </w:r>
      <w:r w:rsidRPr="006345A9">
        <w:rPr>
          <w:rFonts w:ascii="Times New Roman" w:hAnsi="Times New Roman"/>
          <w:sz w:val="32"/>
          <w:szCs w:val="32"/>
        </w:rPr>
        <w:lastRenderedPageBreak/>
        <w:t>будет меньше, чем отнесённый к той же единице абсолютно сухих отходов в 10</w:t>
      </w:r>
      <w:r w:rsidRPr="006345A9">
        <w:rPr>
          <w:rFonts w:ascii="Times New Roman" w:hAnsi="Times New Roman"/>
          <w:sz w:val="32"/>
          <w:szCs w:val="32"/>
          <w:vertAlign w:val="superscript"/>
        </w:rPr>
        <w:t xml:space="preserve">-2 </w:t>
      </w:r>
      <w:r w:rsidRPr="006345A9">
        <w:rPr>
          <w:rFonts w:ascii="Times New Roman" w:hAnsi="Times New Roman"/>
          <w:sz w:val="32"/>
          <w:szCs w:val="32"/>
        </w:rPr>
        <w:t xml:space="preserve">(100 – </w:t>
      </w:r>
      <w:r w:rsidRPr="006345A9">
        <w:rPr>
          <w:rFonts w:ascii="Times New Roman" w:hAnsi="Times New Roman"/>
          <w:i/>
          <w:sz w:val="32"/>
          <w:szCs w:val="32"/>
          <w:lang w:val="en-US"/>
        </w:rPr>
        <w:t>W</w:t>
      </w:r>
      <w:r w:rsidRPr="006345A9">
        <w:rPr>
          <w:rFonts w:ascii="Times New Roman" w:hAnsi="Times New Roman"/>
          <w:sz w:val="32"/>
          <w:szCs w:val="32"/>
        </w:rPr>
        <w:t>)</w:t>
      </w:r>
      <w:r w:rsidRPr="006345A9">
        <w:rPr>
          <w:rFonts w:ascii="Times New Roman" w:hAnsi="Times New Roman"/>
          <w:sz w:val="32"/>
          <w:szCs w:val="32"/>
          <w:lang w:val="be-BY"/>
        </w:rPr>
        <w:t xml:space="preserve"> раз, так как в весовой единице влажных отходов абсолютно сухих отходов, генерирующих биогаз, будет всего </w:t>
      </w:r>
      <w:r w:rsidRPr="006345A9">
        <w:rPr>
          <w:rFonts w:ascii="Times New Roman" w:hAnsi="Times New Roman"/>
          <w:sz w:val="32"/>
          <w:szCs w:val="32"/>
        </w:rPr>
        <w:t>10</w:t>
      </w:r>
      <w:r w:rsidRPr="006345A9">
        <w:rPr>
          <w:rFonts w:ascii="Times New Roman" w:hAnsi="Times New Roman"/>
          <w:sz w:val="32"/>
          <w:szCs w:val="32"/>
          <w:vertAlign w:val="superscript"/>
        </w:rPr>
        <w:t xml:space="preserve">-2 </w:t>
      </w:r>
      <w:r w:rsidRPr="006345A9">
        <w:rPr>
          <w:rFonts w:ascii="Times New Roman" w:hAnsi="Times New Roman"/>
          <w:sz w:val="32"/>
          <w:szCs w:val="32"/>
        </w:rPr>
        <w:t xml:space="preserve">(100 – </w:t>
      </w:r>
      <w:r w:rsidRPr="006345A9">
        <w:rPr>
          <w:rFonts w:ascii="Times New Roman" w:hAnsi="Times New Roman"/>
          <w:i/>
          <w:sz w:val="32"/>
          <w:szCs w:val="32"/>
          <w:lang w:val="en-US"/>
        </w:rPr>
        <w:t>W</w:t>
      </w:r>
      <w:r w:rsidRPr="006345A9">
        <w:rPr>
          <w:rFonts w:ascii="Times New Roman" w:hAnsi="Times New Roman"/>
          <w:sz w:val="32"/>
          <w:szCs w:val="32"/>
        </w:rPr>
        <w:t xml:space="preserve">) от этой единицы (здесь </w:t>
      </w:r>
      <w:r w:rsidRPr="006345A9">
        <w:rPr>
          <w:rFonts w:ascii="Times New Roman" w:hAnsi="Times New Roman"/>
          <w:i/>
          <w:sz w:val="32"/>
          <w:szCs w:val="32"/>
          <w:lang w:val="en-US"/>
        </w:rPr>
        <w:t>W</w:t>
      </w:r>
      <w:r w:rsidRPr="006345A9">
        <w:rPr>
          <w:rFonts w:ascii="Times New Roman" w:hAnsi="Times New Roman"/>
          <w:sz w:val="32"/>
          <w:szCs w:val="32"/>
        </w:rPr>
        <w:t xml:space="preserve"> – фактическая влажность отходов, %, определённая анализаторами проб отходов).</w:t>
      </w:r>
      <w:proofErr w:type="gramEnd"/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С учётом вышесказанного уравнение выхода биогаза при метановом брожении реальных влажных отходов принимает вид: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object w:dxaOrig="4700" w:dyaOrig="380">
          <v:shape id="_x0000_i1026" type="#_x0000_t75" style="width:355.35pt;height:29.35pt" o:ole="">
            <v:imagedata r:id="rId8" o:title=""/>
          </v:shape>
          <o:OLEObject Type="Embed" ProgID="Equation.3" ShapeID="_x0000_i1026" DrawAspect="Content" ObjectID="_1585127727" r:id="rId9"/>
        </w:objec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где сомножитель 10</w:t>
      </w:r>
      <w:r w:rsidRPr="006345A9">
        <w:rPr>
          <w:rFonts w:ascii="Times New Roman" w:hAnsi="Times New Roman"/>
          <w:sz w:val="32"/>
          <w:szCs w:val="32"/>
          <w:vertAlign w:val="superscript"/>
        </w:rPr>
        <w:t xml:space="preserve">-2 </w:t>
      </w:r>
      <w:r w:rsidRPr="006345A9">
        <w:rPr>
          <w:rFonts w:ascii="Times New Roman" w:hAnsi="Times New Roman"/>
          <w:sz w:val="32"/>
          <w:szCs w:val="32"/>
        </w:rPr>
        <w:t xml:space="preserve">(100 – </w:t>
      </w:r>
      <w:r w:rsidRPr="006345A9">
        <w:rPr>
          <w:rFonts w:ascii="Times New Roman" w:hAnsi="Times New Roman"/>
          <w:i/>
          <w:sz w:val="32"/>
          <w:szCs w:val="32"/>
          <w:lang w:val="en-US"/>
        </w:rPr>
        <w:t>W</w:t>
      </w:r>
      <w:r w:rsidRPr="006345A9">
        <w:rPr>
          <w:rFonts w:ascii="Times New Roman" w:hAnsi="Times New Roman"/>
          <w:sz w:val="32"/>
          <w:szCs w:val="32"/>
        </w:rPr>
        <w:t>) учитывает, какова доля абсолютно сухих отходов в общем количестве реальных влажных отходов.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6345A9">
        <w:rPr>
          <w:rFonts w:ascii="Times New Roman" w:hAnsi="Times New Roman"/>
          <w:sz w:val="32"/>
          <w:szCs w:val="32"/>
        </w:rPr>
        <w:t>Количественный выход биогаза за год (</w:t>
      </w:r>
      <w:proofErr w:type="gramStart"/>
      <w:r w:rsidRPr="006345A9">
        <w:rPr>
          <w:rFonts w:ascii="Times New Roman" w:hAnsi="Times New Roman"/>
          <w:sz w:val="32"/>
          <w:szCs w:val="32"/>
        </w:rPr>
        <w:t>кг</w:t>
      </w:r>
      <w:proofErr w:type="gramEnd"/>
      <w:r w:rsidRPr="006345A9">
        <w:rPr>
          <w:rFonts w:ascii="Times New Roman" w:hAnsi="Times New Roman"/>
          <w:sz w:val="32"/>
          <w:szCs w:val="32"/>
        </w:rPr>
        <w:t>/т отходов в год), отнесённый к одной тонне отходов, определяется по формуле: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32"/>
          <w:sz w:val="32"/>
          <w:szCs w:val="32"/>
        </w:rPr>
        <w:object w:dxaOrig="1080" w:dyaOrig="720">
          <v:shape id="_x0000_i1027" type="#_x0000_t75" style="width:78.65pt;height:54pt" o:ole="">
            <v:imagedata r:id="rId10" o:title=""/>
          </v:shape>
          <o:OLEObject Type="Embed" ProgID="Equation.3" ShapeID="_x0000_i1027" DrawAspect="Content" ObjectID="_1585127728" r:id="rId11"/>
        </w:object>
      </w:r>
      <w:r w:rsidRPr="006345A9">
        <w:rPr>
          <w:rFonts w:ascii="Times New Roman" w:hAnsi="Times New Roman"/>
          <w:position w:val="-12"/>
          <w:sz w:val="32"/>
          <w:szCs w:val="32"/>
        </w:rPr>
        <w:t>,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где </w:t>
      </w: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proofErr w:type="gramEnd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сбр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– 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период полного сбраживания органической части отходов, лет, </w:t>
      </w:r>
      <w:proofErr w:type="spellStart"/>
      <w:r w:rsidRPr="006345A9">
        <w:rPr>
          <w:rFonts w:ascii="Times New Roman" w:hAnsi="Times New Roman"/>
          <w:position w:val="-12"/>
          <w:sz w:val="32"/>
          <w:szCs w:val="32"/>
        </w:rPr>
        <w:t>опрелеляемый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 xml:space="preserve"> по приближённой эмпирической формуле: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34"/>
          <w:sz w:val="32"/>
          <w:szCs w:val="32"/>
        </w:rPr>
        <w:object w:dxaOrig="2400" w:dyaOrig="720">
          <v:shape id="_x0000_i1028" type="#_x0000_t75" style="width:182pt;height:56pt" o:ole="">
            <v:imagedata r:id="rId12" o:title=""/>
          </v:shape>
          <o:OLEObject Type="Embed" ProgID="Equation.3" ShapeID="_x0000_i1028" DrawAspect="Content" ObjectID="_1585127729" r:id="rId13"/>
        </w:objec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  <w:lang w:val="be-BY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где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proofErr w:type="spell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</w:rPr>
        <w:t>ср</w:t>
      </w: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</w:rPr>
        <w:t>.т</w:t>
      </w:r>
      <w:proofErr w:type="gramEnd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</w:rPr>
        <w:t>епл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 xml:space="preserve"> – средняя из среднемесячных температура воздуха в районе полигона твёрдых бытовых и промышленных отходов (ТБО и ПО) за тёплый период года (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&gt; 0)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>,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</w:t>
      </w:r>
      <w:proofErr w:type="spellStart"/>
      <w:r w:rsidRPr="006345A9">
        <w:rPr>
          <w:rFonts w:ascii="Times New Roman" w:hAnsi="Times New Roman"/>
          <w:position w:val="-12"/>
          <w:sz w:val="32"/>
          <w:szCs w:val="32"/>
          <w:vertAlign w:val="superscript"/>
          <w:lang w:val="en-US"/>
        </w:rPr>
        <w:t>o</w:t>
      </w:r>
      <w:r w:rsidRPr="006345A9">
        <w:rPr>
          <w:rFonts w:ascii="Times New Roman" w:hAnsi="Times New Roman"/>
          <w:position w:val="-12"/>
          <w:sz w:val="32"/>
          <w:szCs w:val="32"/>
          <w:lang w:val="en-US"/>
        </w:rPr>
        <w:t>C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; 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proofErr w:type="spell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</w:rPr>
        <w:t>тепл</w:t>
      </w:r>
      <w:proofErr w:type="spellEnd"/>
      <w:r w:rsidRPr="006345A9">
        <w:rPr>
          <w:rFonts w:ascii="Times New Roman" w:hAnsi="Times New Roman"/>
          <w:i/>
          <w:position w:val="-12"/>
          <w:sz w:val="32"/>
          <w:szCs w:val="32"/>
        </w:rPr>
        <w:t xml:space="preserve"> </w:t>
      </w:r>
      <w:r w:rsidRPr="006345A9">
        <w:rPr>
          <w:rFonts w:ascii="Times New Roman" w:hAnsi="Times New Roman"/>
          <w:position w:val="-12"/>
          <w:sz w:val="32"/>
          <w:szCs w:val="32"/>
        </w:rPr>
        <w:t>– продолжительность тёплого периода года в районе полигона ТБО и ПО, дни; 10248 и 0,301966 – удельные коэффициенты, учитывающие термическое разложение органики.</w:t>
      </w:r>
      <w:proofErr w:type="gramEnd"/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>Для определения плотности биогаза, кг/м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3</w:t>
      </w:r>
      <w:r w:rsidRPr="006345A9">
        <w:rPr>
          <w:rFonts w:ascii="Times New Roman" w:hAnsi="Times New Roman"/>
          <w:position w:val="-12"/>
          <w:sz w:val="32"/>
          <w:szCs w:val="32"/>
        </w:rPr>
        <w:t>, применяется формула: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28"/>
          <w:sz w:val="32"/>
          <w:szCs w:val="32"/>
        </w:rPr>
        <w:object w:dxaOrig="1680" w:dyaOrig="680">
          <v:shape id="_x0000_i1029" type="#_x0000_t75" style="width:109.35pt;height:48pt" o:ole="">
            <v:imagedata r:id="rId14" o:title=""/>
          </v:shape>
          <o:OLEObject Type="Embed" ProgID="Equation.3" ShapeID="_x0000_i1029" DrawAspect="Content" ObjectID="_1585127730" r:id="rId15"/>
        </w:objec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где </w:t>
      </w:r>
      <w:r w:rsidRPr="006345A9">
        <w:rPr>
          <w:rFonts w:ascii="Times New Roman" w:hAnsi="Times New Roman"/>
          <w:i/>
          <w:position w:val="-12"/>
          <w:sz w:val="32"/>
          <w:szCs w:val="32"/>
        </w:rPr>
        <w:t>С</w:t>
      </w:r>
      <w:proofErr w:type="spellStart"/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en-US"/>
        </w:rPr>
        <w:t>i</w:t>
      </w:r>
      <w:proofErr w:type="spellEnd"/>
      <w:proofErr w:type="gramEnd"/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– концентрация </w:t>
      </w:r>
      <w:proofErr w:type="spellStart"/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i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>-го компонента в биогазе, мг/м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3</w:t>
      </w:r>
      <w:r w:rsidRPr="006345A9">
        <w:rPr>
          <w:rFonts w:ascii="Times New Roman" w:hAnsi="Times New Roman"/>
          <w:position w:val="-12"/>
          <w:sz w:val="32"/>
          <w:szCs w:val="32"/>
        </w:rPr>
        <w:t>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>Используя полученные анал</w:t>
      </w:r>
      <w:r w:rsidR="00C12220">
        <w:rPr>
          <w:rFonts w:ascii="Times New Roman" w:hAnsi="Times New Roman"/>
          <w:position w:val="-12"/>
          <w:sz w:val="32"/>
          <w:szCs w:val="32"/>
        </w:rPr>
        <w:t>изами концентрации компонентов в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биогазе и рассчитанную его плотность, определяется весовое процентное содержание этих компонентов в биогазе: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30"/>
          <w:sz w:val="32"/>
          <w:szCs w:val="32"/>
        </w:rPr>
        <w:object w:dxaOrig="1719" w:dyaOrig="680">
          <v:shape id="_x0000_i1030" type="#_x0000_t75" style="width:120pt;height:51.35pt" o:ole="">
            <v:imagedata r:id="rId16" o:title=""/>
          </v:shape>
          <o:OLEObject Type="Embed" ProgID="Equation.3" ShapeID="_x0000_i1030" DrawAspect="Content" ObjectID="_1585127731" r:id="rId17"/>
        </w:objec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По рассчитанным количественному выходу биогаза за год, отнесённому к 1 тонне отходов и весовым </w:t>
      </w:r>
      <w:proofErr w:type="spellStart"/>
      <w:r w:rsidRPr="006345A9">
        <w:rPr>
          <w:rFonts w:ascii="Times New Roman" w:hAnsi="Times New Roman"/>
          <w:position w:val="-12"/>
          <w:sz w:val="32"/>
          <w:szCs w:val="32"/>
        </w:rPr>
        <w:t>процентым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 xml:space="preserve"> содержаниям </w:t>
      </w:r>
      <w:r w:rsidRPr="006345A9">
        <w:rPr>
          <w:rFonts w:ascii="Times New Roman" w:hAnsi="Times New Roman"/>
          <w:position w:val="-12"/>
          <w:sz w:val="32"/>
          <w:szCs w:val="32"/>
        </w:rPr>
        <w:lastRenderedPageBreak/>
        <w:t xml:space="preserve">компонентов в биогазе определяются удельные массы компонентов, </w:t>
      </w:r>
      <w:proofErr w:type="gramStart"/>
      <w:r w:rsidRPr="006345A9">
        <w:rPr>
          <w:rFonts w:ascii="Times New Roman" w:hAnsi="Times New Roman"/>
          <w:position w:val="-12"/>
          <w:sz w:val="32"/>
          <w:szCs w:val="32"/>
        </w:rPr>
        <w:t>кг</w:t>
      </w:r>
      <w:proofErr w:type="gramEnd"/>
      <w:r w:rsidRPr="006345A9">
        <w:rPr>
          <w:rFonts w:ascii="Times New Roman" w:hAnsi="Times New Roman"/>
          <w:position w:val="-12"/>
          <w:sz w:val="32"/>
          <w:szCs w:val="32"/>
        </w:rPr>
        <w:t>/тонн отходов в год, по формуле: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24"/>
          <w:sz w:val="32"/>
          <w:szCs w:val="32"/>
        </w:rPr>
        <w:object w:dxaOrig="1719" w:dyaOrig="660">
          <v:shape id="_x0000_i1031" type="#_x0000_t75" style="width:129.35pt;height:52pt" o:ole="">
            <v:imagedata r:id="rId18" o:title=""/>
          </v:shape>
          <o:OLEObject Type="Embed" ProgID="Equation.3" ShapeID="_x0000_i1031" DrawAspect="Content" ObjectID="_1585127732" r:id="rId19"/>
        </w:objec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proofErr w:type="gramStart"/>
      <w:r w:rsidRPr="006345A9">
        <w:rPr>
          <w:rFonts w:ascii="Times New Roman" w:hAnsi="Times New Roman"/>
          <w:position w:val="-12"/>
          <w:sz w:val="32"/>
          <w:szCs w:val="32"/>
        </w:rPr>
        <w:t>Для расчёта величин выбросов подсчитывается количество активных отходов, стабильно генерирующих биогаз, с учётом того, что период стабильного активного выхода биогаза в среднем составляет 20 лет и что фаза анаэробного стабильного разложения органической составляющей отходов наступает спустя в среднем 2 года после захоронения отходов, то есть отходы, завезённые в последние два года, не входят в число активных.</w:t>
      </w:r>
      <w:proofErr w:type="gramEnd"/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6345A9">
        <w:rPr>
          <w:rFonts w:ascii="Times New Roman" w:hAnsi="Times New Roman"/>
          <w:sz w:val="32"/>
          <w:szCs w:val="32"/>
        </w:rPr>
        <w:t>Таким образом, если полигон функционирует менее 20 лет, то учитываются все отходы, за исключением завезённых в последние 2 года, а если полигон функционирует более 20 лет, то учитываются только отходы, завезённые в последние 20 лет, за исключением отходов, ввезённых в последние 2 года.</w:t>
      </w:r>
      <w:proofErr w:type="gramEnd"/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sz w:val="32"/>
          <w:szCs w:val="32"/>
          <w:lang w:val="be-BY"/>
        </w:rPr>
      </w:pPr>
      <w:r w:rsidRPr="006345A9">
        <w:rPr>
          <w:rFonts w:ascii="Times New Roman" w:hAnsi="Times New Roman"/>
          <w:sz w:val="32"/>
          <w:szCs w:val="32"/>
        </w:rPr>
        <w:t xml:space="preserve">Максимальные разовые выбросы </w:t>
      </w:r>
      <w:proofErr w:type="spellStart"/>
      <w:r w:rsidRPr="006345A9">
        <w:rPr>
          <w:rFonts w:ascii="Times New Roman" w:hAnsi="Times New Roman"/>
          <w:i/>
          <w:sz w:val="32"/>
          <w:szCs w:val="32"/>
          <w:lang w:val="en-US"/>
        </w:rPr>
        <w:t>i</w:t>
      </w:r>
      <w:proofErr w:type="spellEnd"/>
      <w:r w:rsidRPr="006345A9">
        <w:rPr>
          <w:rFonts w:ascii="Times New Roman" w:hAnsi="Times New Roman"/>
          <w:sz w:val="32"/>
          <w:szCs w:val="32"/>
          <w:lang w:val="be-BY"/>
        </w:rPr>
        <w:t>-го компонента б</w:t>
      </w:r>
      <w:r w:rsidRPr="006345A9">
        <w:rPr>
          <w:rFonts w:ascii="Times New Roman" w:hAnsi="Times New Roman"/>
          <w:sz w:val="32"/>
          <w:szCs w:val="32"/>
        </w:rPr>
        <w:t>и</w:t>
      </w:r>
      <w:r w:rsidRPr="006345A9">
        <w:rPr>
          <w:rFonts w:ascii="Times New Roman" w:hAnsi="Times New Roman"/>
          <w:sz w:val="32"/>
          <w:szCs w:val="32"/>
          <w:lang w:val="be-BY"/>
        </w:rPr>
        <w:t>огаза с полигона, г/</w:t>
      </w:r>
      <w:proofErr w:type="gramStart"/>
      <w:r w:rsidRPr="006345A9">
        <w:rPr>
          <w:rFonts w:ascii="Times New Roman" w:hAnsi="Times New Roman"/>
          <w:sz w:val="32"/>
          <w:szCs w:val="32"/>
          <w:lang w:val="be-BY"/>
        </w:rPr>
        <w:t>с</w:t>
      </w:r>
      <w:proofErr w:type="gramEnd"/>
      <w:r w:rsidRPr="006345A9">
        <w:rPr>
          <w:rFonts w:ascii="Times New Roman" w:hAnsi="Times New Roman"/>
          <w:sz w:val="32"/>
          <w:szCs w:val="32"/>
          <w:lang w:val="be-BY"/>
        </w:rPr>
        <w:t>, определяются по формуле: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4"/>
          <w:sz w:val="32"/>
          <w:szCs w:val="32"/>
        </w:rPr>
        <w:object w:dxaOrig="2100" w:dyaOrig="380">
          <v:shape id="_x0000_i1032" type="#_x0000_t75" style="width:160pt;height:29.35pt" o:ole="">
            <v:imagedata r:id="rId20" o:title=""/>
          </v:shape>
          <o:OLEObject Type="Embed" ProgID="Equation.3" ShapeID="_x0000_i1032" DrawAspect="Content" ObjectID="_1585127733" r:id="rId21"/>
        </w:objec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>где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30"/>
          <w:sz w:val="32"/>
          <w:szCs w:val="32"/>
        </w:rPr>
        <w:object w:dxaOrig="1900" w:dyaOrig="740">
          <v:shape id="_x0000_i1033" type="#_x0000_t75" style="width:114.65pt;height:46.65pt" o:ole="">
            <v:imagedata r:id="rId22" o:title=""/>
          </v:shape>
          <o:OLEObject Type="Embed" ProgID="Equation.3" ShapeID="_x0000_i1033" DrawAspect="Content" ObjectID="_1585127734" r:id="rId23"/>
        </w:object>
      </w:r>
    </w:p>
    <w:p w:rsidR="009163D3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>где Σ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D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– количество активных, стабильно генерирующих биогаз отходов, </w:t>
      </w:r>
      <w:proofErr w:type="gramStart"/>
      <w:r w:rsidRPr="006345A9">
        <w:rPr>
          <w:rFonts w:ascii="Times New Roman" w:hAnsi="Times New Roman"/>
          <w:position w:val="-12"/>
          <w:sz w:val="32"/>
          <w:szCs w:val="32"/>
        </w:rPr>
        <w:t>т</w:t>
      </w:r>
      <w:proofErr w:type="gramEnd"/>
      <w:r w:rsidRPr="006345A9">
        <w:rPr>
          <w:rFonts w:ascii="Times New Roman" w:hAnsi="Times New Roman"/>
          <w:position w:val="-12"/>
          <w:sz w:val="32"/>
          <w:szCs w:val="32"/>
        </w:rPr>
        <w:t xml:space="preserve">; 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proofErr w:type="spellStart"/>
      <w:r w:rsidRPr="006345A9">
        <w:rPr>
          <w:rFonts w:ascii="Times New Roman" w:hAnsi="Times New Roman"/>
          <w:i/>
          <w:position w:val="-12"/>
          <w:sz w:val="32"/>
          <w:szCs w:val="32"/>
        </w:rPr>
        <w:t>Т</w:t>
      </w:r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</w:rPr>
        <w:t>тепл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 xml:space="preserve"> – продолжительность тёплого периода года в районе полигона ТБО, дней.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>Биогаз образуется неравномерно в зависимости от времени года. При отрицательных температурах процесс «</w:t>
      </w:r>
      <w:proofErr w:type="spellStart"/>
      <w:r w:rsidRPr="006345A9">
        <w:rPr>
          <w:rFonts w:ascii="Times New Roman" w:hAnsi="Times New Roman"/>
          <w:position w:val="-12"/>
          <w:sz w:val="32"/>
          <w:szCs w:val="32"/>
        </w:rPr>
        <w:t>мезофильного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 xml:space="preserve"> сбраживания» (до 55 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0</w:t>
      </w:r>
      <w:r w:rsidRPr="006345A9">
        <w:rPr>
          <w:rFonts w:ascii="Times New Roman" w:hAnsi="Times New Roman"/>
          <w:position w:val="-12"/>
          <w:sz w:val="32"/>
          <w:szCs w:val="32"/>
        </w:rPr>
        <w:t>С) органической части ТБО и ПО прекращается, происходит т. н. «</w:t>
      </w:r>
      <w:proofErr w:type="spellStart"/>
      <w:r w:rsidRPr="006345A9">
        <w:rPr>
          <w:rFonts w:ascii="Times New Roman" w:hAnsi="Times New Roman"/>
          <w:position w:val="-12"/>
          <w:sz w:val="32"/>
          <w:szCs w:val="32"/>
        </w:rPr>
        <w:t>законсервирование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>» до наступления более тёплого периода года (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ср</w:t>
      </w: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.м</w:t>
      </w:r>
      <w:proofErr w:type="gramEnd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ес.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&gt; 0 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0</w:t>
      </w:r>
      <w:r w:rsidRPr="006345A9">
        <w:rPr>
          <w:rFonts w:ascii="Times New Roman" w:hAnsi="Times New Roman"/>
          <w:position w:val="-12"/>
          <w:sz w:val="32"/>
          <w:szCs w:val="32"/>
        </w:rPr>
        <w:t>С).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Приведённая формула для вычисления максимального разового выброса </w:t>
      </w:r>
      <w:proofErr w:type="spellStart"/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i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>-го компонента справедлива только в тёплый период года (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ср</w:t>
      </w: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.м</w:t>
      </w:r>
      <w:proofErr w:type="gramEnd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ес.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</w:t>
      </w:r>
      <w:r w:rsidRPr="006345A9">
        <w:rPr>
          <w:rFonts w:ascii="Times New Roman" w:hAnsi="Times New Roman"/>
          <w:position w:val="-12"/>
          <w:sz w:val="32"/>
          <w:szCs w:val="32"/>
        </w:rPr>
        <w:t>&gt;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8 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0</w:t>
      </w:r>
      <w:r w:rsidRPr="006345A9">
        <w:rPr>
          <w:rFonts w:ascii="Times New Roman" w:hAnsi="Times New Roman"/>
          <w:position w:val="-12"/>
          <w:sz w:val="32"/>
          <w:szCs w:val="32"/>
        </w:rPr>
        <w:t>С). При обследовании в более холодное время (0 &lt;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ср</w:t>
      </w: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.м</w:t>
      </w:r>
      <w:proofErr w:type="gramEnd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ес.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≤ 8 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0</w:t>
      </w:r>
      <w:r w:rsidRPr="006345A9">
        <w:rPr>
          <w:rFonts w:ascii="Times New Roman" w:hAnsi="Times New Roman"/>
          <w:position w:val="-12"/>
          <w:sz w:val="32"/>
          <w:szCs w:val="32"/>
        </w:rPr>
        <w:t>С), что нецелесообразно хотя бы из-за дополнительных погрешностей измерения, в формуле следует применять повышающий коэффициент неравномерности образования биогаза 1,3.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lastRenderedPageBreak/>
        <w:t xml:space="preserve">С учётом коэффициента неравномерности валовые выбросы </w:t>
      </w:r>
      <w:proofErr w:type="spellStart"/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i</w:t>
      </w:r>
      <w:proofErr w:type="spellEnd"/>
      <w:r w:rsidRPr="006345A9">
        <w:rPr>
          <w:rFonts w:ascii="Times New Roman" w:hAnsi="Times New Roman"/>
          <w:position w:val="-12"/>
          <w:sz w:val="32"/>
          <w:szCs w:val="32"/>
        </w:rPr>
        <w:t>-го загрязняющего вещества с полигона, т/год, определяются по формуле:</w: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28"/>
          <w:sz w:val="32"/>
          <w:szCs w:val="32"/>
        </w:rPr>
        <w:object w:dxaOrig="5360" w:dyaOrig="680">
          <v:shape id="_x0000_i1034" type="#_x0000_t75" style="width:309.35pt;height:42.65pt" o:ole="">
            <v:imagedata r:id="rId24" o:title=""/>
          </v:shape>
          <o:OLEObject Type="Embed" ProgID="Equation.3" ShapeID="_x0000_i1034" DrawAspect="Content" ObjectID="_1585127735" r:id="rId25"/>
        </w:object>
      </w:r>
    </w:p>
    <w:p w:rsidR="009163D3" w:rsidRPr="006345A9" w:rsidRDefault="009163D3" w:rsidP="009163D3">
      <w:pPr>
        <w:jc w:val="center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4"/>
          <w:sz w:val="32"/>
          <w:szCs w:val="32"/>
        </w:rPr>
        <w:object w:dxaOrig="2100" w:dyaOrig="380">
          <v:shape id="_x0000_i1035" type="#_x0000_t75" style="width:147.35pt;height:26.65pt" o:ole="">
            <v:imagedata r:id="rId26" o:title=""/>
          </v:shape>
          <o:OLEObject Type="Embed" ProgID="Equation.3" ShapeID="_x0000_i1035" DrawAspect="Content" ObjectID="_1585127736" r:id="rId27"/>
        </w:objec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  <w:r w:rsidRPr="006345A9">
        <w:rPr>
          <w:rFonts w:ascii="Times New Roman" w:hAnsi="Times New Roman"/>
          <w:position w:val="-12"/>
          <w:sz w:val="32"/>
          <w:szCs w:val="32"/>
        </w:rPr>
        <w:t xml:space="preserve">где </w:t>
      </w:r>
      <w:r w:rsidRPr="006345A9">
        <w:rPr>
          <w:rFonts w:ascii="Times New Roman" w:hAnsi="Times New Roman"/>
          <w:i/>
          <w:position w:val="-12"/>
          <w:sz w:val="32"/>
          <w:szCs w:val="32"/>
        </w:rPr>
        <w:t>а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 и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b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– периоды, соотвественно, тёплого и холодного периода года в месяцах (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be-BY"/>
        </w:rPr>
        <w:t>а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при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ср</w:t>
      </w:r>
      <w:proofErr w:type="gramStart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.м</w:t>
      </w:r>
      <w:proofErr w:type="gramEnd"/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ес.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</w:t>
      </w:r>
      <w:r w:rsidRPr="006345A9">
        <w:rPr>
          <w:rFonts w:ascii="Times New Roman" w:hAnsi="Times New Roman"/>
          <w:position w:val="-12"/>
          <w:sz w:val="32"/>
          <w:szCs w:val="32"/>
        </w:rPr>
        <w:t>&gt;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8 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0</w:t>
      </w:r>
      <w:r w:rsidRPr="006345A9">
        <w:rPr>
          <w:rFonts w:ascii="Times New Roman" w:hAnsi="Times New Roman"/>
          <w:position w:val="-12"/>
          <w:sz w:val="32"/>
          <w:szCs w:val="32"/>
        </w:rPr>
        <w:t xml:space="preserve">С,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b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– при </w:t>
      </w:r>
      <w:r w:rsidRPr="006345A9">
        <w:rPr>
          <w:rFonts w:ascii="Times New Roman" w:hAnsi="Times New Roman"/>
          <w:position w:val="-12"/>
          <w:sz w:val="32"/>
          <w:szCs w:val="32"/>
        </w:rPr>
        <w:t>0 &lt;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</w:t>
      </w:r>
      <w:r w:rsidRPr="006345A9">
        <w:rPr>
          <w:rFonts w:ascii="Times New Roman" w:hAnsi="Times New Roman"/>
          <w:i/>
          <w:position w:val="-12"/>
          <w:sz w:val="32"/>
          <w:szCs w:val="32"/>
          <w:lang w:val="en-US"/>
        </w:rPr>
        <w:t>t</w:t>
      </w:r>
      <w:r w:rsidRPr="006345A9">
        <w:rPr>
          <w:rFonts w:ascii="Times New Roman" w:hAnsi="Times New Roman"/>
          <w:i/>
          <w:position w:val="-12"/>
          <w:sz w:val="32"/>
          <w:szCs w:val="32"/>
          <w:vertAlign w:val="subscript"/>
          <w:lang w:val="be-BY"/>
        </w:rPr>
        <w:t>ср.мес.</w:t>
      </w:r>
      <w:r w:rsidRPr="006345A9">
        <w:rPr>
          <w:rFonts w:ascii="Times New Roman" w:hAnsi="Times New Roman"/>
          <w:position w:val="-12"/>
          <w:sz w:val="32"/>
          <w:szCs w:val="32"/>
          <w:lang w:val="be-BY"/>
        </w:rPr>
        <w:t xml:space="preserve"> ≤ 8 </w:t>
      </w:r>
      <w:r w:rsidRPr="006345A9">
        <w:rPr>
          <w:rFonts w:ascii="Times New Roman" w:hAnsi="Times New Roman"/>
          <w:position w:val="-12"/>
          <w:sz w:val="32"/>
          <w:szCs w:val="32"/>
          <w:vertAlign w:val="superscript"/>
        </w:rPr>
        <w:t>0</w:t>
      </w:r>
      <w:r w:rsidRPr="006345A9">
        <w:rPr>
          <w:rFonts w:ascii="Times New Roman" w:hAnsi="Times New Roman"/>
          <w:position w:val="-12"/>
          <w:sz w:val="32"/>
          <w:szCs w:val="32"/>
        </w:rPr>
        <w:t>С).</w:t>
      </w:r>
    </w:p>
    <w:p w:rsidR="001C445E" w:rsidRDefault="001C445E" w:rsidP="001C445E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C445E" w:rsidRPr="006345A9" w:rsidRDefault="001C445E" w:rsidP="001C445E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Практи</w:t>
      </w:r>
      <w:r w:rsidRPr="006345A9">
        <w:rPr>
          <w:rFonts w:ascii="Times New Roman" w:hAnsi="Times New Roman"/>
          <w:b/>
          <w:sz w:val="32"/>
          <w:szCs w:val="32"/>
        </w:rPr>
        <w:t>ческая часть</w:t>
      </w:r>
    </w:p>
    <w:p w:rsidR="009163D3" w:rsidRPr="006345A9" w:rsidRDefault="009163D3" w:rsidP="009163D3">
      <w:pPr>
        <w:ind w:firstLine="709"/>
        <w:jc w:val="both"/>
        <w:rPr>
          <w:rFonts w:ascii="Times New Roman" w:hAnsi="Times New Roman"/>
          <w:position w:val="-12"/>
          <w:sz w:val="32"/>
          <w:szCs w:val="32"/>
        </w:rPr>
      </w:pPr>
    </w:p>
    <w:p w:rsidR="001C445E" w:rsidRPr="008314A3" w:rsidRDefault="001C445E" w:rsidP="001C445E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8314A3">
        <w:rPr>
          <w:rFonts w:ascii="Times New Roman" w:hAnsi="Times New Roman"/>
          <w:b/>
          <w:sz w:val="32"/>
          <w:szCs w:val="32"/>
        </w:rPr>
        <w:t>Задание:</w:t>
      </w:r>
      <w:r w:rsidRPr="008314A3">
        <w:rPr>
          <w:rFonts w:ascii="Times New Roman" w:hAnsi="Times New Roman"/>
          <w:sz w:val="32"/>
          <w:szCs w:val="32"/>
        </w:rPr>
        <w:t xml:space="preserve"> рассчитать площадь полигона твёрдых бытовых отходов и объём выделяющегося при разложении отходов биогаза в целом и по компонентам.</w:t>
      </w:r>
    </w:p>
    <w:p w:rsidR="001C445E" w:rsidRPr="001C445E" w:rsidRDefault="001C445E" w:rsidP="001C445E">
      <w:pPr>
        <w:ind w:firstLine="709"/>
        <w:jc w:val="both"/>
        <w:rPr>
          <w:rFonts w:ascii="Times New Roman" w:hAnsi="Times New Roman"/>
          <w:b/>
          <w:sz w:val="32"/>
          <w:szCs w:val="32"/>
          <w:lang w:val="be-BY"/>
        </w:rPr>
      </w:pPr>
      <w:r w:rsidRPr="001C445E">
        <w:rPr>
          <w:rFonts w:ascii="Times New Roman" w:hAnsi="Times New Roman"/>
          <w:b/>
          <w:sz w:val="32"/>
          <w:szCs w:val="32"/>
          <w:lang w:val="be-BY"/>
        </w:rPr>
        <w:t>Ход работы:</w:t>
      </w:r>
    </w:p>
    <w:p w:rsidR="001C445E" w:rsidRDefault="001C445E" w:rsidP="001C44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314A3">
        <w:rPr>
          <w:rFonts w:ascii="Times New Roman" w:hAnsi="Times New Roman"/>
          <w:sz w:val="32"/>
          <w:szCs w:val="32"/>
        </w:rPr>
        <w:t>Выполнить расчет площади полигона по п</w:t>
      </w:r>
      <w:r>
        <w:rPr>
          <w:rFonts w:ascii="Times New Roman" w:hAnsi="Times New Roman"/>
          <w:sz w:val="32"/>
          <w:szCs w:val="32"/>
        </w:rPr>
        <w:t>редставленным данным (таблицы 3, 4</w:t>
      </w:r>
      <w:r w:rsidRPr="008314A3">
        <w:rPr>
          <w:rFonts w:ascii="Times New Roman" w:hAnsi="Times New Roman"/>
          <w:sz w:val="32"/>
          <w:szCs w:val="32"/>
        </w:rPr>
        <w:t>).</w:t>
      </w:r>
    </w:p>
    <w:p w:rsidR="001C445E" w:rsidRDefault="001C445E" w:rsidP="001C445E">
      <w:pPr>
        <w:rPr>
          <w:rFonts w:ascii="Times New Roman" w:hAnsi="Times New Roman"/>
          <w:sz w:val="29"/>
          <w:szCs w:val="29"/>
        </w:rPr>
      </w:pPr>
    </w:p>
    <w:p w:rsidR="001C445E" w:rsidRPr="001C445E" w:rsidRDefault="001C445E" w:rsidP="001C445E">
      <w:pPr>
        <w:rPr>
          <w:rFonts w:ascii="Times New Roman" w:hAnsi="Times New Roman"/>
          <w:sz w:val="29"/>
          <w:szCs w:val="29"/>
          <w:lang w:val="be-BY"/>
        </w:rPr>
      </w:pPr>
      <w:r>
        <w:rPr>
          <w:rFonts w:ascii="Times New Roman" w:hAnsi="Times New Roman"/>
          <w:sz w:val="29"/>
          <w:szCs w:val="29"/>
        </w:rPr>
        <w:t>Таблица 4</w:t>
      </w:r>
      <w:r w:rsidRPr="008314A3">
        <w:rPr>
          <w:rFonts w:ascii="Times New Roman" w:hAnsi="Times New Roman"/>
          <w:sz w:val="29"/>
          <w:szCs w:val="29"/>
        </w:rPr>
        <w:t xml:space="preserve"> – Среднемесячные температуры воздуха в районе полигона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6"/>
        <w:gridCol w:w="824"/>
        <w:gridCol w:w="617"/>
        <w:gridCol w:w="617"/>
        <w:gridCol w:w="616"/>
        <w:gridCol w:w="616"/>
        <w:gridCol w:w="616"/>
        <w:gridCol w:w="823"/>
        <w:gridCol w:w="539"/>
        <w:gridCol w:w="539"/>
        <w:gridCol w:w="578"/>
        <w:gridCol w:w="578"/>
        <w:gridCol w:w="578"/>
      </w:tblGrid>
      <w:tr w:rsidR="001C445E" w:rsidRPr="001C445E" w:rsidTr="001C445E">
        <w:tc>
          <w:tcPr>
            <w:tcW w:w="1279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406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  <w:shd w:val="clear" w:color="auto" w:fill="auto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C445E" w:rsidRPr="001C445E" w:rsidTr="001C445E">
        <w:tc>
          <w:tcPr>
            <w:tcW w:w="1279" w:type="pct"/>
          </w:tcPr>
          <w:p w:rsidR="001C445E" w:rsidRPr="001C445E" w:rsidRDefault="001C445E" w:rsidP="00985E60">
            <w:pPr>
              <w:ind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Температура, </w:t>
            </w:r>
            <w:r w:rsidRPr="001C445E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C445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6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–10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–9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–4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304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  <w:tc>
          <w:tcPr>
            <w:tcW w:w="406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+18</w:t>
            </w:r>
          </w:p>
        </w:tc>
        <w:tc>
          <w:tcPr>
            <w:tcW w:w="266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  <w:tc>
          <w:tcPr>
            <w:tcW w:w="266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285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285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285" w:type="pct"/>
            <w:shd w:val="clear" w:color="auto" w:fill="auto"/>
          </w:tcPr>
          <w:p w:rsidR="001C445E" w:rsidRPr="001C445E" w:rsidRDefault="001C445E" w:rsidP="00985E60">
            <w:pPr>
              <w:ind w:left="-108" w:right="-108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–8</w:t>
            </w:r>
          </w:p>
        </w:tc>
      </w:tr>
    </w:tbl>
    <w:p w:rsidR="001C445E" w:rsidRPr="008314A3" w:rsidRDefault="001C445E" w:rsidP="001C445E">
      <w:pPr>
        <w:rPr>
          <w:rFonts w:ascii="Times New Roman" w:hAnsi="Times New Roman"/>
          <w:sz w:val="29"/>
          <w:szCs w:val="29"/>
        </w:rPr>
      </w:pPr>
    </w:p>
    <w:p w:rsidR="001C445E" w:rsidRPr="008314A3" w:rsidRDefault="001C445E" w:rsidP="001C445E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314A3">
        <w:rPr>
          <w:rFonts w:ascii="Times New Roman" w:hAnsi="Times New Roman"/>
          <w:sz w:val="32"/>
          <w:szCs w:val="32"/>
        </w:rPr>
        <w:t>Рассчитать удельный выход биогаза за период его активной стабилизированной генерации при метановом брожении и количественный выход биогаза за год.</w:t>
      </w:r>
    </w:p>
    <w:p w:rsidR="001C445E" w:rsidRPr="008314A3" w:rsidRDefault="001C445E" w:rsidP="001C445E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314A3">
        <w:rPr>
          <w:rFonts w:ascii="Times New Roman" w:hAnsi="Times New Roman"/>
          <w:sz w:val="32"/>
          <w:szCs w:val="32"/>
        </w:rPr>
        <w:t>Определить плотность выделяющегося биогаза, если концентрации его компонентов, полученные анализами, следующие (мг/м</w:t>
      </w:r>
      <w:r w:rsidRPr="008314A3">
        <w:rPr>
          <w:rFonts w:ascii="Times New Roman" w:hAnsi="Times New Roman"/>
          <w:sz w:val="32"/>
          <w:szCs w:val="32"/>
          <w:vertAlign w:val="superscript"/>
        </w:rPr>
        <w:t>3</w:t>
      </w:r>
      <w:r w:rsidRPr="008314A3">
        <w:rPr>
          <w:rFonts w:ascii="Times New Roman" w:hAnsi="Times New Roman"/>
          <w:sz w:val="32"/>
          <w:szCs w:val="32"/>
        </w:rPr>
        <w:t>): СН</w:t>
      </w:r>
      <w:proofErr w:type="gramStart"/>
      <w:r w:rsidRPr="008314A3">
        <w:rPr>
          <w:rFonts w:ascii="Times New Roman" w:hAnsi="Times New Roman"/>
          <w:sz w:val="32"/>
          <w:szCs w:val="32"/>
          <w:vertAlign w:val="subscript"/>
        </w:rPr>
        <w:t>4</w:t>
      </w:r>
      <w:proofErr w:type="gramEnd"/>
      <w:r w:rsidRPr="008314A3">
        <w:rPr>
          <w:rFonts w:ascii="Times New Roman" w:hAnsi="Times New Roman"/>
          <w:sz w:val="32"/>
          <w:szCs w:val="32"/>
          <w:vertAlign w:val="subscript"/>
        </w:rPr>
        <w:t xml:space="preserve"> </w:t>
      </w:r>
      <w:r w:rsidRPr="008314A3">
        <w:rPr>
          <w:rFonts w:ascii="Times New Roman" w:hAnsi="Times New Roman"/>
          <w:sz w:val="32"/>
          <w:szCs w:val="32"/>
        </w:rPr>
        <w:t>– 1,25; СО</w:t>
      </w:r>
      <w:r w:rsidRPr="008314A3">
        <w:rPr>
          <w:rFonts w:ascii="Times New Roman" w:hAnsi="Times New Roman"/>
          <w:sz w:val="32"/>
          <w:szCs w:val="32"/>
          <w:vertAlign w:val="subscript"/>
        </w:rPr>
        <w:t xml:space="preserve">2 </w:t>
      </w:r>
      <w:r w:rsidRPr="008314A3">
        <w:rPr>
          <w:rFonts w:ascii="Times New Roman" w:hAnsi="Times New Roman"/>
          <w:sz w:val="32"/>
          <w:szCs w:val="32"/>
        </w:rPr>
        <w:t xml:space="preserve">– 0,78; </w:t>
      </w:r>
      <w:r w:rsidRPr="008314A3">
        <w:rPr>
          <w:rFonts w:ascii="Times New Roman" w:hAnsi="Times New Roman"/>
          <w:sz w:val="32"/>
          <w:szCs w:val="32"/>
          <w:lang w:val="en-US"/>
        </w:rPr>
        <w:t>N</w:t>
      </w:r>
      <w:r w:rsidRPr="008314A3">
        <w:rPr>
          <w:rFonts w:ascii="Times New Roman" w:hAnsi="Times New Roman"/>
          <w:sz w:val="32"/>
          <w:szCs w:val="32"/>
          <w:vertAlign w:val="subscript"/>
        </w:rPr>
        <w:t>2</w:t>
      </w:r>
      <w:r w:rsidRPr="008314A3">
        <w:rPr>
          <w:rFonts w:ascii="Times New Roman" w:hAnsi="Times New Roman"/>
          <w:sz w:val="32"/>
          <w:szCs w:val="32"/>
        </w:rPr>
        <w:t xml:space="preserve"> – 0,02; </w:t>
      </w:r>
      <w:r w:rsidRPr="008314A3">
        <w:rPr>
          <w:rFonts w:ascii="Times New Roman" w:hAnsi="Times New Roman"/>
          <w:sz w:val="32"/>
          <w:szCs w:val="32"/>
          <w:lang w:val="en-US"/>
        </w:rPr>
        <w:t>H</w:t>
      </w:r>
      <w:r w:rsidRPr="008314A3">
        <w:rPr>
          <w:rFonts w:ascii="Times New Roman" w:hAnsi="Times New Roman"/>
          <w:sz w:val="32"/>
          <w:szCs w:val="32"/>
          <w:vertAlign w:val="subscript"/>
        </w:rPr>
        <w:t>2</w:t>
      </w:r>
      <w:r w:rsidRPr="008314A3">
        <w:rPr>
          <w:rFonts w:ascii="Times New Roman" w:hAnsi="Times New Roman"/>
          <w:sz w:val="32"/>
          <w:szCs w:val="32"/>
          <w:lang w:val="en-US"/>
        </w:rPr>
        <w:t>S</w:t>
      </w:r>
      <w:r w:rsidRPr="008314A3">
        <w:rPr>
          <w:rFonts w:ascii="Times New Roman" w:hAnsi="Times New Roman"/>
          <w:sz w:val="32"/>
          <w:szCs w:val="32"/>
        </w:rPr>
        <w:t xml:space="preserve">  – 0,01.</w:t>
      </w:r>
    </w:p>
    <w:p w:rsidR="001C445E" w:rsidRPr="008314A3" w:rsidRDefault="001C445E" w:rsidP="001C445E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314A3">
        <w:rPr>
          <w:rFonts w:ascii="Times New Roman" w:hAnsi="Times New Roman"/>
          <w:sz w:val="32"/>
          <w:szCs w:val="32"/>
        </w:rPr>
        <w:t>Рассчитать весовое процентное содержание компонентов и их удельные массы, максимальные разовые выбросы и валовые выбросы. Результаты занести в таблицу:</w:t>
      </w:r>
    </w:p>
    <w:p w:rsidR="001C445E" w:rsidRPr="000B1742" w:rsidRDefault="001C445E" w:rsidP="001C445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431"/>
        <w:gridCol w:w="1431"/>
        <w:gridCol w:w="1634"/>
        <w:gridCol w:w="2044"/>
        <w:gridCol w:w="1429"/>
      </w:tblGrid>
      <w:tr w:rsidR="001C445E" w:rsidRPr="001C445E" w:rsidTr="001C445E">
        <w:tc>
          <w:tcPr>
            <w:tcW w:w="1069" w:type="pct"/>
            <w:vAlign w:val="center"/>
          </w:tcPr>
          <w:p w:rsidR="001C445E" w:rsidRPr="001C445E" w:rsidRDefault="001C445E" w:rsidP="0098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706" w:type="pct"/>
            <w:vAlign w:val="center"/>
          </w:tcPr>
          <w:p w:rsidR="001C445E" w:rsidRPr="001C445E" w:rsidRDefault="001C445E" w:rsidP="00985E60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45E">
              <w:rPr>
                <w:rFonts w:ascii="Times New Roman" w:hAnsi="Times New Roman"/>
                <w:sz w:val="24"/>
                <w:szCs w:val="24"/>
              </w:rPr>
              <w:t>Концент</w:t>
            </w:r>
            <w:proofErr w:type="spellEnd"/>
            <w:r w:rsidRPr="001C445E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1C445E">
              <w:rPr>
                <w:rFonts w:ascii="Times New Roman" w:hAnsi="Times New Roman"/>
                <w:sz w:val="24"/>
                <w:szCs w:val="24"/>
              </w:rPr>
              <w:t>рация</w:t>
            </w:r>
            <w:proofErr w:type="gramEnd"/>
            <w:r w:rsidRPr="001C445E">
              <w:rPr>
                <w:rFonts w:ascii="Times New Roman" w:hAnsi="Times New Roman"/>
                <w:sz w:val="24"/>
                <w:szCs w:val="24"/>
              </w:rPr>
              <w:t xml:space="preserve"> в биогазе, мг/м</w:t>
            </w:r>
            <w:r w:rsidRPr="001C445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6" w:type="pct"/>
            <w:vAlign w:val="center"/>
          </w:tcPr>
          <w:p w:rsidR="001C445E" w:rsidRPr="001C445E" w:rsidRDefault="00C12220" w:rsidP="00985E60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Весовое содержа</w:t>
            </w:r>
            <w:bookmarkStart w:id="0" w:name="_GoBack"/>
            <w:bookmarkEnd w:id="0"/>
            <w:r w:rsidR="001C445E" w:rsidRPr="001C445E">
              <w:rPr>
                <w:rFonts w:ascii="Times New Roman" w:hAnsi="Times New Roman"/>
                <w:sz w:val="24"/>
                <w:szCs w:val="24"/>
              </w:rPr>
              <w:t>ние, %</w:t>
            </w:r>
          </w:p>
        </w:tc>
        <w:tc>
          <w:tcPr>
            <w:tcW w:w="806" w:type="pct"/>
            <w:vAlign w:val="center"/>
          </w:tcPr>
          <w:p w:rsidR="001C445E" w:rsidRPr="001C445E" w:rsidRDefault="001C445E" w:rsidP="00985E60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Удельная масса, </w:t>
            </w:r>
            <w:proofErr w:type="gramStart"/>
            <w:r w:rsidRPr="001C445E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1C445E">
              <w:rPr>
                <w:rFonts w:ascii="Times New Roman" w:hAnsi="Times New Roman"/>
                <w:sz w:val="24"/>
                <w:szCs w:val="24"/>
              </w:rPr>
              <w:t>/т отходов в год</w:t>
            </w:r>
          </w:p>
        </w:tc>
        <w:tc>
          <w:tcPr>
            <w:tcW w:w="1008" w:type="pct"/>
            <w:vAlign w:val="center"/>
          </w:tcPr>
          <w:p w:rsidR="001C445E" w:rsidRPr="001C445E" w:rsidRDefault="001C445E" w:rsidP="00985E60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Максимальные разовые выбросы, </w:t>
            </w:r>
            <w:r w:rsidRPr="001C445E">
              <w:rPr>
                <w:rFonts w:ascii="Times New Roman" w:hAnsi="Times New Roman"/>
                <w:sz w:val="24"/>
                <w:szCs w:val="24"/>
                <w:lang w:val="be-BY"/>
              </w:rPr>
              <w:t>г/</w:t>
            </w:r>
            <w:proofErr w:type="gramStart"/>
            <w:r w:rsidRPr="001C445E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proofErr w:type="gramEnd"/>
          </w:p>
        </w:tc>
        <w:tc>
          <w:tcPr>
            <w:tcW w:w="706" w:type="pct"/>
            <w:vAlign w:val="center"/>
          </w:tcPr>
          <w:p w:rsidR="001C445E" w:rsidRPr="001C445E" w:rsidRDefault="001C445E" w:rsidP="00985E60">
            <w:pPr>
              <w:ind w:left="-7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Валовые выбросы, т/год</w:t>
            </w:r>
          </w:p>
        </w:tc>
      </w:tr>
      <w:tr w:rsidR="001C445E" w:rsidRPr="001C445E" w:rsidTr="001C445E">
        <w:tc>
          <w:tcPr>
            <w:tcW w:w="1069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Метан</w:t>
            </w: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5E" w:rsidRPr="001C445E" w:rsidTr="001C445E">
        <w:tc>
          <w:tcPr>
            <w:tcW w:w="1069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Диоксид углерода</w:t>
            </w: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5E" w:rsidRPr="001C445E" w:rsidTr="001C445E">
        <w:tc>
          <w:tcPr>
            <w:tcW w:w="1069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Азот</w:t>
            </w: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5E" w:rsidRPr="001C445E" w:rsidTr="001C445E">
        <w:tc>
          <w:tcPr>
            <w:tcW w:w="1069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1C445E" w:rsidRPr="001C445E" w:rsidRDefault="001C445E" w:rsidP="00985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45E" w:rsidRDefault="001C445E" w:rsidP="001C445E">
      <w:pPr>
        <w:jc w:val="both"/>
        <w:rPr>
          <w:rFonts w:ascii="Times New Roman" w:hAnsi="Times New Roman"/>
          <w:sz w:val="24"/>
          <w:szCs w:val="24"/>
        </w:rPr>
      </w:pPr>
    </w:p>
    <w:p w:rsidR="001C445E" w:rsidRDefault="001C445E" w:rsidP="001C445E">
      <w:pPr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sz w:val="32"/>
          <w:szCs w:val="32"/>
        </w:rPr>
        <w:sectPr w:rsidR="001C445E" w:rsidSect="009163D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8314A3">
        <w:rPr>
          <w:rFonts w:ascii="Times New Roman" w:hAnsi="Times New Roman"/>
          <w:sz w:val="32"/>
          <w:szCs w:val="32"/>
        </w:rPr>
        <w:t>Сделать вывод.</w:t>
      </w:r>
      <w:r w:rsidR="00814776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6"/>
        <w:gridCol w:w="567"/>
        <w:gridCol w:w="564"/>
        <w:gridCol w:w="565"/>
        <w:gridCol w:w="568"/>
        <w:gridCol w:w="568"/>
        <w:gridCol w:w="568"/>
        <w:gridCol w:w="568"/>
        <w:gridCol w:w="553"/>
        <w:gridCol w:w="523"/>
        <w:gridCol w:w="485"/>
        <w:gridCol w:w="565"/>
        <w:gridCol w:w="568"/>
        <w:gridCol w:w="568"/>
        <w:gridCol w:w="565"/>
        <w:gridCol w:w="568"/>
        <w:gridCol w:w="565"/>
        <w:gridCol w:w="565"/>
        <w:gridCol w:w="568"/>
        <w:gridCol w:w="568"/>
        <w:gridCol w:w="565"/>
        <w:gridCol w:w="488"/>
        <w:gridCol w:w="588"/>
      </w:tblGrid>
      <w:tr w:rsidR="00814776" w:rsidRPr="001C445E" w:rsidTr="00814776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776" w:rsidRDefault="00814776" w:rsidP="00814776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14776">
              <w:rPr>
                <w:rFonts w:ascii="Times New Roman" w:hAnsi="Times New Roman"/>
                <w:sz w:val="28"/>
                <w:szCs w:val="28"/>
              </w:rPr>
              <w:lastRenderedPageBreak/>
              <w:t>Таблица 3 – Варианты заданий к практической работе</w:t>
            </w:r>
          </w:p>
          <w:p w:rsidR="00814776" w:rsidRPr="00814776" w:rsidRDefault="00814776" w:rsidP="00985E60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45E" w:rsidRPr="001C445E" w:rsidTr="00814776">
        <w:tc>
          <w:tcPr>
            <w:tcW w:w="851" w:type="pct"/>
            <w:vMerge w:val="restart"/>
            <w:tcBorders>
              <w:top w:val="single" w:sz="4" w:space="0" w:color="auto"/>
            </w:tcBorders>
            <w:vAlign w:val="center"/>
          </w:tcPr>
          <w:p w:rsidR="001C445E" w:rsidRPr="001C445E" w:rsidRDefault="001C445E" w:rsidP="00985E60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149" w:type="pct"/>
            <w:gridSpan w:val="22"/>
            <w:tcBorders>
              <w:top w:val="single" w:sz="4" w:space="0" w:color="auto"/>
            </w:tcBorders>
          </w:tcPr>
          <w:p w:rsidR="001C445E" w:rsidRPr="001C445E" w:rsidRDefault="001C445E" w:rsidP="00985E60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Варианты</w:t>
            </w:r>
          </w:p>
        </w:tc>
      </w:tr>
      <w:tr w:rsidR="00814776" w:rsidRPr="001C445E" w:rsidTr="00814776">
        <w:tc>
          <w:tcPr>
            <w:tcW w:w="851" w:type="pct"/>
            <w:vMerge/>
          </w:tcPr>
          <w:p w:rsidR="001C445E" w:rsidRPr="001C445E" w:rsidRDefault="001C445E" w:rsidP="00985E6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" w:type="pct"/>
          </w:tcPr>
          <w:p w:rsidR="001C445E" w:rsidRPr="001C445E" w:rsidRDefault="001C445E" w:rsidP="00985E60">
            <w:pPr>
              <w:pStyle w:val="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Расчётный срок эксплуатации, лет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5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9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 w:right="-113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</w:t>
            </w:r>
            <w:proofErr w:type="spellStart"/>
            <w:r w:rsidRPr="001C445E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C445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C445E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1C445E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1C445E" w:rsidRPr="001C445E" w:rsidRDefault="001C445E" w:rsidP="00985E60">
            <w:pPr>
              <w:pStyle w:val="1"/>
              <w:ind w:left="0" w:right="-181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 в первый год</w:t>
            </w:r>
          </w:p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 в последний год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4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5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9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Накопление отходов в первый год, т/чел.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42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87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7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64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0.24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92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91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65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199" w:type="pct"/>
            <w:vAlign w:val="center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0.32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Масса катка-уплотнителя, </w:t>
            </w:r>
            <w:proofErr w:type="gramStart"/>
            <w:r w:rsidRPr="001C445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9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Проектируемая высота, </w:t>
            </w:r>
            <w:proofErr w:type="gramStart"/>
            <w:r w:rsidRPr="001C445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9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14776" w:rsidRPr="001C445E" w:rsidTr="00814776">
        <w:tc>
          <w:tcPr>
            <w:tcW w:w="85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Содержание органической составляющей, %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7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7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1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5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9" w:type="pct"/>
            <w:tcBorders>
              <w:bottom w:val="nil"/>
            </w:tcBorders>
          </w:tcPr>
          <w:p w:rsidR="001C445E" w:rsidRPr="001C445E" w:rsidRDefault="001C445E" w:rsidP="00985E60">
            <w:pPr>
              <w:pStyle w:val="1"/>
              <w:ind w:left="-103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Содержание в органической составляющей веществ, %</w:t>
            </w:r>
          </w:p>
          <w:p w:rsidR="001C445E" w:rsidRPr="001C445E" w:rsidRDefault="001C445E" w:rsidP="00985E60">
            <w:pPr>
              <w:pStyle w:val="1"/>
              <w:ind w:left="0" w:right="-181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– жироподобных </w:t>
            </w:r>
          </w:p>
          <w:p w:rsidR="001C445E" w:rsidRPr="001C445E" w:rsidRDefault="001C445E" w:rsidP="00985E60">
            <w:pPr>
              <w:pStyle w:val="1"/>
              <w:ind w:left="0" w:right="-181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1C445E">
              <w:rPr>
                <w:rFonts w:ascii="Times New Roman" w:hAnsi="Times New Roman"/>
                <w:sz w:val="24"/>
                <w:szCs w:val="24"/>
              </w:rPr>
              <w:t>углеводоподобных</w:t>
            </w:r>
            <w:proofErr w:type="spellEnd"/>
          </w:p>
          <w:p w:rsidR="001C445E" w:rsidRPr="001C445E" w:rsidRDefault="001C445E" w:rsidP="00985E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– белковых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C445E" w:rsidRPr="001C445E" w:rsidRDefault="001C445E" w:rsidP="00985E60">
            <w:pPr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C445E" w:rsidRPr="001C445E" w:rsidRDefault="001C445E" w:rsidP="00985E60">
            <w:pPr>
              <w:ind w:left="-108" w:right="-150"/>
              <w:jc w:val="center"/>
              <w:rPr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7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4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1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5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9" w:type="pct"/>
          </w:tcPr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C445E" w:rsidRPr="001C445E" w:rsidRDefault="001C445E" w:rsidP="00985E60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14776" w:rsidRPr="001C445E" w:rsidTr="00814776">
        <w:tc>
          <w:tcPr>
            <w:tcW w:w="851" w:type="pct"/>
          </w:tcPr>
          <w:p w:rsidR="001C445E" w:rsidRPr="001C445E" w:rsidRDefault="001C445E" w:rsidP="00985E60">
            <w:pPr>
              <w:pStyle w:val="1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Влажность отходов, %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" w:type="pct"/>
          </w:tcPr>
          <w:p w:rsidR="001C445E" w:rsidRPr="001C445E" w:rsidRDefault="001C445E" w:rsidP="009C670E">
            <w:pPr>
              <w:pStyle w:val="1"/>
              <w:ind w:left="-108" w:right="-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C445E" w:rsidRPr="008314A3" w:rsidRDefault="001C445E" w:rsidP="001C445E">
      <w:pPr>
        <w:tabs>
          <w:tab w:val="left" w:pos="1134"/>
        </w:tabs>
        <w:ind w:left="1069"/>
        <w:rPr>
          <w:rFonts w:ascii="Times New Roman" w:hAnsi="Times New Roman"/>
          <w:b/>
          <w:sz w:val="32"/>
          <w:szCs w:val="32"/>
        </w:rPr>
      </w:pPr>
    </w:p>
    <w:p w:rsidR="009163D3" w:rsidRPr="006345A9" w:rsidRDefault="009163D3" w:rsidP="009163D3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9163D3" w:rsidRDefault="009163D3" w:rsidP="009163D3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163D3" w:rsidRPr="008314A3" w:rsidRDefault="009163D3" w:rsidP="009163D3">
      <w:pPr>
        <w:jc w:val="center"/>
        <w:rPr>
          <w:rFonts w:ascii="Times New Roman" w:hAnsi="Times New Roman"/>
          <w:b/>
          <w:sz w:val="29"/>
          <w:szCs w:val="29"/>
        </w:rPr>
      </w:pPr>
    </w:p>
    <w:p w:rsidR="00D04923" w:rsidRDefault="00D04923"/>
    <w:sectPr w:rsidR="00D04923" w:rsidSect="001C445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F96"/>
    <w:multiLevelType w:val="hybridMultilevel"/>
    <w:tmpl w:val="2A30B850"/>
    <w:lvl w:ilvl="0" w:tplc="836093D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47C7916"/>
    <w:multiLevelType w:val="hybridMultilevel"/>
    <w:tmpl w:val="F560F56C"/>
    <w:lvl w:ilvl="0" w:tplc="CFDEF7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D3"/>
    <w:rsid w:val="001C445E"/>
    <w:rsid w:val="00814776"/>
    <w:rsid w:val="009163D3"/>
    <w:rsid w:val="009C670E"/>
    <w:rsid w:val="00C12220"/>
    <w:rsid w:val="00D0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D3"/>
    <w:pPr>
      <w:ind w:left="720"/>
      <w:contextualSpacing/>
    </w:pPr>
  </w:style>
  <w:style w:type="paragraph" w:styleId="2">
    <w:name w:val="Body Text Indent 2"/>
    <w:basedOn w:val="a"/>
    <w:link w:val="20"/>
    <w:semiHidden/>
    <w:rsid w:val="009163D3"/>
    <w:pPr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163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D3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1C445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D3"/>
    <w:pPr>
      <w:ind w:left="720"/>
      <w:contextualSpacing/>
    </w:pPr>
  </w:style>
  <w:style w:type="paragraph" w:styleId="2">
    <w:name w:val="Body Text Indent 2"/>
    <w:basedOn w:val="a"/>
    <w:link w:val="20"/>
    <w:semiHidden/>
    <w:rsid w:val="009163D3"/>
    <w:pPr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163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D3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1C445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3</cp:revision>
  <cp:lastPrinted>2018-04-12T14:54:00Z</cp:lastPrinted>
  <dcterms:created xsi:type="dcterms:W3CDTF">2018-04-12T10:43:00Z</dcterms:created>
  <dcterms:modified xsi:type="dcterms:W3CDTF">2018-04-13T09:29:00Z</dcterms:modified>
</cp:coreProperties>
</file>