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A2" w:rsidRDefault="002A165B" w:rsidP="00887B4C">
      <w:pPr>
        <w:ind w:firstLine="709"/>
        <w:jc w:val="center"/>
        <w:rPr>
          <w:rStyle w:val="hps"/>
          <w:b/>
          <w:sz w:val="28"/>
          <w:szCs w:val="28"/>
        </w:rPr>
      </w:pPr>
      <w:r>
        <w:rPr>
          <w:b/>
          <w:bCs/>
          <w:sz w:val="28"/>
          <w:szCs w:val="28"/>
        </w:rPr>
        <w:t>МЕЖДУНАРОДНЫЕ ОБРАЗОВАТЕЛЬНЫЕ ПРОГРАММЫ</w:t>
      </w:r>
      <w:r w:rsidR="00A12A63" w:rsidRPr="00CB16C8">
        <w:rPr>
          <w:b/>
          <w:bCs/>
          <w:sz w:val="28"/>
          <w:szCs w:val="28"/>
        </w:rPr>
        <w:t xml:space="preserve"> </w:t>
      </w:r>
      <w:r w:rsidR="00CD1851">
        <w:rPr>
          <w:b/>
          <w:bCs/>
          <w:sz w:val="28"/>
          <w:szCs w:val="28"/>
        </w:rPr>
        <w:t>В</w:t>
      </w:r>
      <w:r w:rsidR="00A12A63" w:rsidRPr="00CB16C8">
        <w:rPr>
          <w:b/>
          <w:bCs/>
          <w:sz w:val="28"/>
          <w:szCs w:val="28"/>
        </w:rPr>
        <w:t xml:space="preserve"> ПРОЦЕСС</w:t>
      </w:r>
      <w:r w:rsidR="00CD1851">
        <w:rPr>
          <w:b/>
          <w:bCs/>
          <w:sz w:val="28"/>
          <w:szCs w:val="28"/>
        </w:rPr>
        <w:t>Е</w:t>
      </w:r>
      <w:r w:rsidR="00DA3CC8" w:rsidRPr="00CB16C8">
        <w:rPr>
          <w:rStyle w:val="hps"/>
          <w:b/>
          <w:sz w:val="28"/>
          <w:szCs w:val="28"/>
        </w:rPr>
        <w:t xml:space="preserve"> </w:t>
      </w:r>
      <w:r w:rsidR="00A12A63" w:rsidRPr="00CB16C8">
        <w:rPr>
          <w:rStyle w:val="hps"/>
          <w:b/>
          <w:sz w:val="28"/>
          <w:szCs w:val="28"/>
        </w:rPr>
        <w:t xml:space="preserve">ПРОФЕССИОНАЛЬНОЙ ПОДГОТОВКИ </w:t>
      </w:r>
      <w:r w:rsidR="008D5A80">
        <w:rPr>
          <w:rStyle w:val="hps"/>
          <w:b/>
          <w:sz w:val="28"/>
          <w:szCs w:val="28"/>
        </w:rPr>
        <w:t>ЛОГИСТОВ</w:t>
      </w:r>
    </w:p>
    <w:p w:rsidR="00EB4900" w:rsidRPr="00CB16C8" w:rsidRDefault="00EB4900" w:rsidP="00887B4C">
      <w:pPr>
        <w:ind w:firstLine="709"/>
        <w:jc w:val="center"/>
        <w:rPr>
          <w:rStyle w:val="hps"/>
          <w:b/>
          <w:sz w:val="28"/>
          <w:szCs w:val="28"/>
        </w:rPr>
      </w:pPr>
    </w:p>
    <w:p w:rsidR="00982F85" w:rsidRPr="00CD1851" w:rsidRDefault="00982F85" w:rsidP="00887B4C">
      <w:pPr>
        <w:ind w:firstLine="709"/>
        <w:jc w:val="center"/>
        <w:rPr>
          <w:b/>
          <w:bCs/>
          <w:iCs/>
        </w:rPr>
      </w:pPr>
      <w:r w:rsidRPr="00CD1851">
        <w:rPr>
          <w:b/>
          <w:bCs/>
          <w:iCs/>
        </w:rPr>
        <w:t>Полешук</w:t>
      </w:r>
      <w:r w:rsidR="00CD1851" w:rsidRPr="00CD1851">
        <w:rPr>
          <w:b/>
          <w:bCs/>
          <w:iCs/>
        </w:rPr>
        <w:t xml:space="preserve"> Елена Николаевна</w:t>
      </w:r>
    </w:p>
    <w:p w:rsidR="00EB4900" w:rsidRPr="00EB4900" w:rsidRDefault="00EB4900" w:rsidP="00887B4C">
      <w:pPr>
        <w:ind w:firstLine="709"/>
        <w:jc w:val="center"/>
        <w:rPr>
          <w:bCs/>
          <w:iCs/>
        </w:rPr>
      </w:pPr>
      <w:r w:rsidRPr="00EB4900">
        <w:rPr>
          <w:bCs/>
          <w:iCs/>
        </w:rPr>
        <w:t>УО "Белорусский государственный экономический университет»</w:t>
      </w:r>
    </w:p>
    <w:p w:rsidR="00CD1851" w:rsidRPr="00D06F9B" w:rsidRDefault="00CD1851" w:rsidP="00887B4C">
      <w:pPr>
        <w:ind w:firstLine="709"/>
        <w:jc w:val="center"/>
        <w:rPr>
          <w:lang w:val="en-US"/>
        </w:rPr>
      </w:pPr>
      <w:r w:rsidRPr="007B0162">
        <w:t>г</w:t>
      </w:r>
      <w:r w:rsidRPr="007B0162">
        <w:rPr>
          <w:lang w:val="en-US"/>
        </w:rPr>
        <w:t xml:space="preserve">. </w:t>
      </w:r>
      <w:r w:rsidRPr="007B0162">
        <w:t>Минск</w:t>
      </w:r>
      <w:r w:rsidRPr="007B0162">
        <w:rPr>
          <w:lang w:val="en-US"/>
        </w:rPr>
        <w:t xml:space="preserve">, </w:t>
      </w:r>
      <w:r w:rsidRPr="007B0162">
        <w:t>Республика</w:t>
      </w:r>
      <w:r w:rsidRPr="007B0162">
        <w:rPr>
          <w:lang w:val="en-US"/>
        </w:rPr>
        <w:t xml:space="preserve"> </w:t>
      </w:r>
      <w:r w:rsidRPr="007B0162">
        <w:t>Беларусь</w:t>
      </w:r>
    </w:p>
    <w:p w:rsidR="00982F85" w:rsidRPr="008D5A80" w:rsidRDefault="00982F85" w:rsidP="00887B4C">
      <w:pPr>
        <w:ind w:firstLine="709"/>
        <w:jc w:val="both"/>
        <w:rPr>
          <w:lang w:val="en-US"/>
        </w:rPr>
      </w:pPr>
    </w:p>
    <w:p w:rsidR="002135E2" w:rsidRPr="0017555A" w:rsidRDefault="002135E2" w:rsidP="00887B4C">
      <w:pPr>
        <w:ind w:firstLine="709"/>
        <w:jc w:val="both"/>
        <w:rPr>
          <w:i/>
          <w:lang w:val="en-US"/>
        </w:rPr>
      </w:pPr>
      <w:r w:rsidRPr="00E9787D">
        <w:rPr>
          <w:i/>
          <w:lang w:val="en-US"/>
        </w:rPr>
        <w:t xml:space="preserve">The article describes the features of training logistics specialists nowadays. The necessity of innovations implementation </w:t>
      </w:r>
      <w:r>
        <w:rPr>
          <w:i/>
          <w:lang w:val="en-US"/>
        </w:rPr>
        <w:t xml:space="preserve">in </w:t>
      </w:r>
      <w:r w:rsidRPr="00E9787D">
        <w:rPr>
          <w:i/>
          <w:lang w:val="en-US"/>
        </w:rPr>
        <w:t xml:space="preserve">the learning process of students </w:t>
      </w:r>
      <w:r>
        <w:rPr>
          <w:i/>
          <w:lang w:val="en-US"/>
        </w:rPr>
        <w:t>o</w:t>
      </w:r>
      <w:r w:rsidRPr="00E9787D">
        <w:rPr>
          <w:i/>
          <w:lang w:val="en-US"/>
        </w:rPr>
        <w:t xml:space="preserve">n specialty "Logistics". The experience of international programs of professional mobility "Modern technologies of </w:t>
      </w:r>
      <w:r w:rsidRPr="006928A6">
        <w:rPr>
          <w:i/>
          <w:lang w:val="en-US"/>
        </w:rPr>
        <w:t>logistics objects of infrastructure" is studied.</w:t>
      </w:r>
    </w:p>
    <w:p w:rsidR="002135E2" w:rsidRPr="002135E2" w:rsidRDefault="002135E2" w:rsidP="00887B4C">
      <w:pPr>
        <w:ind w:firstLine="709"/>
        <w:jc w:val="both"/>
        <w:rPr>
          <w:sz w:val="28"/>
          <w:szCs w:val="28"/>
          <w:lang w:val="en-US"/>
        </w:rPr>
      </w:pPr>
    </w:p>
    <w:p w:rsidR="000951AB" w:rsidRDefault="000951AB" w:rsidP="000951AB">
      <w:pPr>
        <w:autoSpaceDE w:val="0"/>
        <w:autoSpaceDN w:val="0"/>
        <w:adjustRightInd w:val="0"/>
        <w:ind w:firstLine="709"/>
        <w:jc w:val="both"/>
      </w:pPr>
      <w:r w:rsidRPr="00953D47">
        <w:t>Образование во все времена было и остается соразмерным конкретному этапу развития обществ</w:t>
      </w:r>
      <w:r>
        <w:t>а. На сегодняшний день логистика</w:t>
      </w:r>
      <w:r w:rsidRPr="00953D47">
        <w:t xml:space="preserve">, как один из инструментов управления в бизнесе и как самостоятельный бизнес, постоянно развивается, а спрос на специалистов по логистике на рынке труда </w:t>
      </w:r>
      <w:r>
        <w:t>растет</w:t>
      </w:r>
      <w:r w:rsidRPr="00953D47">
        <w:t xml:space="preserve">. Одновременно с ростом популярности профессии логиста, </w:t>
      </w:r>
      <w:r>
        <w:t>растут и</w:t>
      </w:r>
      <w:r w:rsidRPr="00953D47">
        <w:t xml:space="preserve"> требования к уровню подготовки и квалификации специалистов по логистике. Если одно время в логистов переквалифицировались заведующие складами или снабженцы, экономисты или таможенные декларанты, то сегодня компании требуют квалифицированн</w:t>
      </w:r>
      <w:r>
        <w:t>ых</w:t>
      </w:r>
      <w:r w:rsidRPr="00953D47">
        <w:t xml:space="preserve"> специалист</w:t>
      </w:r>
      <w:r>
        <w:t>ов</w:t>
      </w:r>
      <w:r w:rsidRPr="00953D47">
        <w:t xml:space="preserve">. </w:t>
      </w:r>
    </w:p>
    <w:p w:rsidR="000951AB" w:rsidRPr="00063C64" w:rsidRDefault="000951AB" w:rsidP="000951AB">
      <w:pPr>
        <w:ind w:firstLine="709"/>
        <w:jc w:val="both"/>
      </w:pPr>
      <w:r>
        <w:t>С</w:t>
      </w:r>
      <w:r w:rsidRPr="00063C64">
        <w:t xml:space="preserve">пециалистов в сфере логистики </w:t>
      </w:r>
      <w:r>
        <w:t>в</w:t>
      </w:r>
      <w:r w:rsidRPr="00063C64">
        <w:t xml:space="preserve"> настоящее время готовят различные учреждения образования — и государственные вузы, и частные образовательные центры и консалтинговые компании, проводящие кратковременные семинары. Однако, особенностью подготовки специалистов в области логистики учреждениями образования является то, что студент получает в основном только теоретические знания, которых в настоящее время недостаточно для удовлетворения требований, предъявляемых работодателями к специалистам по логистике. Вопрос, который стоит сегодня перед многими руководителями высших учебных заведений - как подготовить специалиста, </w:t>
      </w:r>
      <w:r w:rsidRPr="00063C64">
        <w:rPr>
          <w:spacing w:val="-4"/>
        </w:rPr>
        <w:t>обладающего гибкостью, критичностью мышления,</w:t>
      </w:r>
      <w:r w:rsidRPr="00063C64">
        <w:t xml:space="preserve"> готовностью работать в новых (инновационных) условиях, ориентироваться в новых технологиях, применять знания на практике, и, следовательно, без адаптации </w:t>
      </w:r>
      <w:r w:rsidRPr="00063C64">
        <w:rPr>
          <w:spacing w:val="-6"/>
        </w:rPr>
        <w:t>включ</w:t>
      </w:r>
      <w:r>
        <w:rPr>
          <w:spacing w:val="-6"/>
        </w:rPr>
        <w:t>а</w:t>
      </w:r>
      <w:r w:rsidRPr="00063C64">
        <w:rPr>
          <w:spacing w:val="-6"/>
        </w:rPr>
        <w:t>ться и успешно осуществлять профессиональную деятельность</w:t>
      </w:r>
      <w:r w:rsidRPr="00063C64">
        <w:t xml:space="preserve">. Очевидно, что </w:t>
      </w:r>
      <w:r w:rsidRPr="00063C64">
        <w:rPr>
          <w:spacing w:val="-6"/>
        </w:rPr>
        <w:t>следует пересмотреть традиционные</w:t>
      </w:r>
      <w:r w:rsidRPr="00063C64">
        <w:t xml:space="preserve"> подходы как к организации образовательного процесса в целом, так и к проектированию образовательных программ [</w:t>
      </w:r>
      <w:r w:rsidR="00351892">
        <w:t>1</w:t>
      </w:r>
      <w:r w:rsidRPr="00063C64">
        <w:t xml:space="preserve">]. </w:t>
      </w:r>
    </w:p>
    <w:p w:rsidR="000951AB" w:rsidRPr="00351892" w:rsidRDefault="000951AB" w:rsidP="000951AB">
      <w:pPr>
        <w:ind w:firstLine="709"/>
        <w:jc w:val="both"/>
        <w:rPr>
          <w:szCs w:val="28"/>
        </w:rPr>
      </w:pPr>
      <w:r w:rsidRPr="00351892">
        <w:rPr>
          <w:szCs w:val="28"/>
        </w:rPr>
        <w:t>Согласно Приказу Министерства образования "Об организации образовательного процесса в учреждениях образования в 2013/2014 учебном году" от 26.09.2013 г. одной из приоритетных задач развития высшего образования является усиление практико-ориентированной подготовки студентов при сохранении уровня теоретических знаний. Практикоориентированность подготовки специалистов может быть обеспечена, в первую очередь, оптимизацией и совершенствованием организации производственных (в т.ч. преддипломных) практик. При этом необходимы принципиально новые подходы к организации всех видов практик, самостоятельной работы обучающихся, изучения отдельных учебных дисциплин, обеспечивающие интеграцию образования, науки и производства [</w:t>
      </w:r>
      <w:r w:rsidR="00351892" w:rsidRPr="00351892">
        <w:rPr>
          <w:szCs w:val="28"/>
        </w:rPr>
        <w:t>1</w:t>
      </w:r>
      <w:r w:rsidRPr="00351892">
        <w:rPr>
          <w:szCs w:val="28"/>
        </w:rPr>
        <w:t xml:space="preserve">]. </w:t>
      </w:r>
    </w:p>
    <w:p w:rsidR="000951AB" w:rsidRDefault="000951AB" w:rsidP="000951AB">
      <w:pPr>
        <w:ind w:firstLine="709"/>
        <w:jc w:val="both"/>
        <w:rPr>
          <w:szCs w:val="28"/>
        </w:rPr>
      </w:pPr>
      <w:r>
        <w:rPr>
          <w:szCs w:val="28"/>
        </w:rPr>
        <w:t xml:space="preserve">Однако и разработка системы прохождения практики не может стать решением проблемы </w:t>
      </w:r>
      <w:r>
        <w:t>подготовки специалистов в области логистики, способных нестандартно, гибко и своевременно реагировать на изменения, которые происходят в мире</w:t>
      </w:r>
      <w:r>
        <w:rPr>
          <w:szCs w:val="28"/>
        </w:rPr>
        <w:t>, так как л</w:t>
      </w:r>
      <w:r w:rsidRPr="00A52B45">
        <w:rPr>
          <w:szCs w:val="28"/>
        </w:rPr>
        <w:t xml:space="preserve">огистика </w:t>
      </w:r>
      <w:r>
        <w:rPr>
          <w:szCs w:val="28"/>
        </w:rPr>
        <w:t>является</w:t>
      </w:r>
      <w:r w:rsidRPr="00A52B45">
        <w:rPr>
          <w:szCs w:val="28"/>
        </w:rPr>
        <w:t xml:space="preserve"> относительно молод</w:t>
      </w:r>
      <w:r>
        <w:rPr>
          <w:szCs w:val="28"/>
        </w:rPr>
        <w:t>ой</w:t>
      </w:r>
      <w:r w:rsidRPr="00A52B45">
        <w:rPr>
          <w:szCs w:val="28"/>
        </w:rPr>
        <w:t xml:space="preserve"> сфер</w:t>
      </w:r>
      <w:r>
        <w:rPr>
          <w:szCs w:val="28"/>
        </w:rPr>
        <w:t>ой</w:t>
      </w:r>
      <w:r w:rsidRPr="00A52B45">
        <w:rPr>
          <w:szCs w:val="28"/>
        </w:rPr>
        <w:t xml:space="preserve"> деятельности в Республике Беларусь. </w:t>
      </w:r>
      <w:r>
        <w:rPr>
          <w:szCs w:val="28"/>
        </w:rPr>
        <w:t xml:space="preserve">Предприятия Республики Беларусь не имеют достаточного опыта в ее применении, </w:t>
      </w:r>
      <w:r>
        <w:rPr>
          <w:szCs w:val="28"/>
        </w:rPr>
        <w:lastRenderedPageBreak/>
        <w:t>квалифицированные специалисты, в которых так остро они нуждаются, также отсутствуют.</w:t>
      </w:r>
      <w:r w:rsidRPr="000951AB">
        <w:t xml:space="preserve"> </w:t>
      </w:r>
      <w:r>
        <w:t>В тоже время з</w:t>
      </w:r>
      <w:r w:rsidRPr="00761396">
        <w:t>арубежные компании давно и успешно используют современные технологии управления объектами логистической инфраструктуры</w:t>
      </w:r>
      <w:r>
        <w:t>.</w:t>
      </w:r>
    </w:p>
    <w:p w:rsidR="00FD494C" w:rsidRPr="00A2524C" w:rsidRDefault="00FD494C" w:rsidP="00FD494C">
      <w:pPr>
        <w:ind w:firstLine="709"/>
        <w:jc w:val="both"/>
      </w:pPr>
      <w:r w:rsidRPr="00063C64">
        <w:t>Подготовить высококвалифицированного специалиста с учетом специфики развития логистики  в Республики Белару</w:t>
      </w:r>
      <w:r w:rsidR="00BC245C">
        <w:t>сь можно, используя в дополнение</w:t>
      </w:r>
      <w:r w:rsidRPr="00063C64">
        <w:t xml:space="preserve"> к традиционным формам органи</w:t>
      </w:r>
      <w:r w:rsidR="00BC245C">
        <w:t>зации образовательного процесса</w:t>
      </w:r>
      <w:r w:rsidRPr="00063C64">
        <w:t xml:space="preserve"> инновационные</w:t>
      </w:r>
      <w:r w:rsidRPr="00063C64">
        <w:rPr>
          <w:bCs/>
          <w:iCs/>
        </w:rPr>
        <w:t>.</w:t>
      </w:r>
      <w:r w:rsidRPr="00063C64">
        <w:t xml:space="preserve"> В качестве перспективного направления обновления образования, подготовки специалистов, отвечающ</w:t>
      </w:r>
      <w:r>
        <w:t>его</w:t>
      </w:r>
      <w:r w:rsidRPr="00063C64">
        <w:t xml:space="preserve"> современным требованиям, следует рассматривать включенное обучение.</w:t>
      </w:r>
      <w:r w:rsidRPr="00A2524C">
        <w:rPr>
          <w:sz w:val="28"/>
          <w:szCs w:val="28"/>
        </w:rPr>
        <w:t xml:space="preserve"> </w:t>
      </w:r>
    </w:p>
    <w:p w:rsidR="005F44B7" w:rsidRDefault="00FD494C" w:rsidP="00FD494C">
      <w:pPr>
        <w:ind w:firstLine="709"/>
        <w:jc w:val="both"/>
        <w:rPr>
          <w:sz w:val="28"/>
          <w:szCs w:val="28"/>
        </w:rPr>
      </w:pPr>
      <w:r w:rsidRPr="00063C64">
        <w:t xml:space="preserve">Включенное обучение - это временное направление студентов в зарубежное высшее учебное заведение с целью формирования компетенций (части компетенций), предусмотренных основной образовательной программой. </w:t>
      </w:r>
      <w:r w:rsidR="005F44B7" w:rsidRPr="005F44B7">
        <w:t>Включенное обучение не приводит к увеличению срока освоения основной образовательной программы высшего профессионального образования. Максимальная продолжительность периода непрерывного обучения за рубежом - 1 год.</w:t>
      </w:r>
      <w:r w:rsidR="005F44B7">
        <w:rPr>
          <w:sz w:val="28"/>
          <w:szCs w:val="28"/>
        </w:rPr>
        <w:t xml:space="preserve"> </w:t>
      </w:r>
    </w:p>
    <w:p w:rsidR="00351892" w:rsidRDefault="00020A3F" w:rsidP="008231DF">
      <w:pPr>
        <w:autoSpaceDE w:val="0"/>
        <w:autoSpaceDN w:val="0"/>
        <w:adjustRightInd w:val="0"/>
        <w:ind w:firstLine="709"/>
        <w:jc w:val="both"/>
      </w:pPr>
      <w:r w:rsidRPr="000028B5">
        <w:t xml:space="preserve">В настоящее время включенное обучение </w:t>
      </w:r>
      <w:r w:rsidR="005F44B7" w:rsidRPr="000028B5">
        <w:t xml:space="preserve">реализуется лишь </w:t>
      </w:r>
      <w:r w:rsidRPr="000028B5">
        <w:t xml:space="preserve">частично в рамках студенческого обмена. </w:t>
      </w:r>
      <w:r w:rsidR="00351892">
        <w:t>Основной причиной развития академической мобильности студентов является поддержка со стороны различных программ (ERASMUS, COMMETT, LINGUA, TEMPUS). Многие страны подписали двусторонние и многосторонние договоры в этой области. Такое целенаправленное развитие академической мобильности студентов служит средством поддержки международного рынка подготовки профессионалов, высококвалифицированных специалистов.</w:t>
      </w:r>
    </w:p>
    <w:p w:rsidR="00FD494C" w:rsidRPr="000028B5" w:rsidRDefault="00020A3F" w:rsidP="000951AB">
      <w:pPr>
        <w:ind w:firstLine="709"/>
        <w:jc w:val="both"/>
      </w:pPr>
      <w:r w:rsidRPr="000028B5">
        <w:t xml:space="preserve">Однако, за весь учебный год такая возможность может предоставляться лишь двум или трем студентам старших курсов. </w:t>
      </w:r>
      <w:r w:rsidR="005F44B7" w:rsidRPr="000028B5">
        <w:t>Между тем, по</w:t>
      </w:r>
      <w:r w:rsidRPr="000028B5">
        <w:t xml:space="preserve"> </w:t>
      </w:r>
      <w:r w:rsidR="005F44B7" w:rsidRPr="000028B5">
        <w:t xml:space="preserve">проведенным </w:t>
      </w:r>
      <w:r w:rsidRPr="000028B5">
        <w:t>исследованиям, наибольшей долей желающих совершить мобильность отличаются как раз младшие курсы [2]. Кроме того, на сегодняшний день в Республике Беларусь существует проблема механизма пер</w:t>
      </w:r>
      <w:r w:rsidR="00BC245C">
        <w:t>езачета дисциплин по возвращении</w:t>
      </w:r>
      <w:r w:rsidRPr="000028B5">
        <w:t xml:space="preserve"> студента домой.</w:t>
      </w:r>
    </w:p>
    <w:p w:rsidR="000951AB" w:rsidRDefault="000951AB" w:rsidP="000951AB">
      <w:pPr>
        <w:ind w:firstLine="709"/>
        <w:jc w:val="both"/>
      </w:pPr>
      <w:r>
        <w:t>Поэтому, одним из способов решения данной проблемы может стать внедрение в образовательный процесс профессиональной подготовки студентов по специальности "Логистика" такой инновационной формы учебного процесса</w:t>
      </w:r>
      <w:r w:rsidR="00BC245C">
        <w:t>,</w:t>
      </w:r>
      <w:r>
        <w:t xml:space="preserve"> как международные образовательные туры с целью знакомства и изучения передового опыта стран, лидирующих на рынке логистических услуг</w:t>
      </w:r>
      <w:r w:rsidRPr="00761396">
        <w:t>.</w:t>
      </w:r>
    </w:p>
    <w:p w:rsidR="000028B5" w:rsidRDefault="008231DF" w:rsidP="000028B5">
      <w:pPr>
        <w:ind w:firstLine="709"/>
        <w:jc w:val="both"/>
      </w:pPr>
      <w:r>
        <w:t>С учетом вышеизложенного</w:t>
      </w:r>
      <w:r w:rsidR="000028B5">
        <w:t xml:space="preserve"> к</w:t>
      </w:r>
      <w:r w:rsidR="000028B5" w:rsidRPr="00A2524C">
        <w:t xml:space="preserve"> структуре включенного обучения </w:t>
      </w:r>
      <w:r w:rsidR="000028B5">
        <w:t xml:space="preserve">предлагается </w:t>
      </w:r>
      <w:r w:rsidR="000028B5" w:rsidRPr="00A2524C">
        <w:t>отнес</w:t>
      </w:r>
      <w:r w:rsidR="000028B5">
        <w:t>ти</w:t>
      </w:r>
      <w:r w:rsidR="000028B5" w:rsidRPr="00A2524C">
        <w:t xml:space="preserve"> следующие компоненты: учебу в ближнем и дальнем зарубежье</w:t>
      </w:r>
      <w:r w:rsidR="000028B5">
        <w:t xml:space="preserve"> в рамках программ студенческого обмена</w:t>
      </w:r>
      <w:r w:rsidR="000028B5" w:rsidRPr="00A2524C">
        <w:t>, международные конференции, семинары, программы, туры и стажировки.</w:t>
      </w:r>
    </w:p>
    <w:p w:rsidR="00193E98" w:rsidRDefault="008231DF" w:rsidP="00193E98">
      <w:pPr>
        <w:ind w:firstLine="709"/>
        <w:jc w:val="both"/>
      </w:pPr>
      <w:r>
        <w:t>В настоящее время</w:t>
      </w:r>
      <w:r w:rsidR="00A2524C" w:rsidRPr="00E601A4">
        <w:rPr>
          <w:sz w:val="28"/>
          <w:szCs w:val="28"/>
        </w:rPr>
        <w:t xml:space="preserve"> </w:t>
      </w:r>
      <w:r w:rsidR="00A2524C" w:rsidRPr="00193E98">
        <w:t xml:space="preserve">кафедрой логистики и ценовой политики УО "БГЭУ" совместно с Центром международных связей Министерства образования Республики Беларусь разработана и уже успешно реализуется на практике программа международного образовательного тура профессиональной мобильности «Современные технологии управления объектами логистической инфраструктуры». </w:t>
      </w:r>
      <w:r w:rsidR="00A2524C">
        <w:t>М</w:t>
      </w:r>
      <w:r w:rsidR="00A2524C" w:rsidRPr="00063C64">
        <w:t>еждународные образовательные туры студентов,</w:t>
      </w:r>
      <w:r w:rsidR="00A2524C" w:rsidRPr="00A2524C">
        <w:t xml:space="preserve"> </w:t>
      </w:r>
      <w:r w:rsidR="00A2524C" w:rsidRPr="00063C64">
        <w:t>как одн</w:t>
      </w:r>
      <w:r w:rsidR="00A2524C">
        <w:t>а</w:t>
      </w:r>
      <w:r w:rsidR="00A2524C" w:rsidRPr="00063C64">
        <w:t xml:space="preserve"> из составляющих включенного обучения</w:t>
      </w:r>
      <w:r w:rsidR="00A2524C">
        <w:t xml:space="preserve">, </w:t>
      </w:r>
      <w:r w:rsidR="00A2524C" w:rsidRPr="00063C64">
        <w:t>направлен</w:t>
      </w:r>
      <w:r w:rsidR="00193E98">
        <w:t>ы</w:t>
      </w:r>
      <w:r w:rsidR="00A2524C" w:rsidRPr="00063C64">
        <w:t xml:space="preserve"> на</w:t>
      </w:r>
      <w:r w:rsidR="00193E98">
        <w:t>:</w:t>
      </w:r>
    </w:p>
    <w:p w:rsidR="00193E98" w:rsidRPr="00193E98" w:rsidRDefault="00193E98" w:rsidP="00193E98">
      <w:pPr>
        <w:pStyle w:val="a7"/>
        <w:numPr>
          <w:ilvl w:val="0"/>
          <w:numId w:val="12"/>
        </w:numPr>
        <w:ind w:left="0" w:firstLine="709"/>
        <w:jc w:val="both"/>
      </w:pPr>
      <w:r w:rsidRPr="00193E98">
        <w:t>углубление теоретической подготовки студентов в различных функциональных областях логистики ;</w:t>
      </w:r>
    </w:p>
    <w:p w:rsidR="00193E98" w:rsidRPr="00193E98" w:rsidRDefault="00193E98" w:rsidP="00193E98">
      <w:pPr>
        <w:pStyle w:val="a7"/>
        <w:numPr>
          <w:ilvl w:val="0"/>
          <w:numId w:val="12"/>
        </w:numPr>
        <w:ind w:left="0" w:firstLine="709"/>
        <w:jc w:val="both"/>
      </w:pPr>
      <w:r w:rsidRPr="00193E98">
        <w:t>изучение практического передового опыта реализации логистических технологий;</w:t>
      </w:r>
    </w:p>
    <w:p w:rsidR="00193E98" w:rsidRPr="00193E98" w:rsidRDefault="00193E98" w:rsidP="00193E98">
      <w:pPr>
        <w:pStyle w:val="a7"/>
        <w:numPr>
          <w:ilvl w:val="0"/>
          <w:numId w:val="12"/>
        </w:numPr>
        <w:ind w:left="0" w:firstLine="709"/>
        <w:jc w:val="both"/>
      </w:pPr>
      <w:r w:rsidRPr="00193E98">
        <w:t xml:space="preserve">ознакомление с возможностями продолжения образования в сфере логистики за рубежом. </w:t>
      </w:r>
    </w:p>
    <w:p w:rsidR="00A74448" w:rsidRPr="00A74448" w:rsidRDefault="00A74448" w:rsidP="00A7444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74448">
        <w:rPr>
          <w:rFonts w:ascii="Times New Roman" w:hAnsi="Times New Roman" w:cs="Times New Roman"/>
        </w:rPr>
        <w:lastRenderedPageBreak/>
        <w:t>Разработка и внедрение международного образовательного тура включает несколько этапов: подготовительный, организационный, этап реализации, заключительный. Продолжительность разработки и реализации тура составляет около 3 месяцев. Таким образом, наиболее рациональным является реализация одного тура за учебный семестр.</w:t>
      </w:r>
    </w:p>
    <w:p w:rsidR="0021109E" w:rsidRDefault="0021109E" w:rsidP="00A7444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63C64">
        <w:rPr>
          <w:rFonts w:ascii="Times New Roman" w:hAnsi="Times New Roman" w:cs="Times New Roman"/>
        </w:rPr>
        <w:t>К настоящему моменту времени уже успешно реализованы три международных образовате</w:t>
      </w:r>
      <w:r w:rsidR="00BC245C">
        <w:rPr>
          <w:rFonts w:ascii="Times New Roman" w:hAnsi="Times New Roman" w:cs="Times New Roman"/>
        </w:rPr>
        <w:t>льных тура. Первый был посвящен</w:t>
      </w:r>
      <w:r w:rsidRPr="00063C64">
        <w:rPr>
          <w:rFonts w:ascii="Times New Roman" w:hAnsi="Times New Roman" w:cs="Times New Roman"/>
        </w:rPr>
        <w:t xml:space="preserve"> изучению опыта управления объектами логистической инфраструктуры в странах Прибалтики, второй – в Польше и Германии, третий - в Италии, </w:t>
      </w:r>
      <w:r w:rsidR="00BC245C">
        <w:rPr>
          <w:rFonts w:ascii="Times New Roman" w:hAnsi="Times New Roman" w:cs="Times New Roman"/>
        </w:rPr>
        <w:t xml:space="preserve"> </w:t>
      </w:r>
      <w:r w:rsidRPr="00063C64">
        <w:rPr>
          <w:rFonts w:ascii="Times New Roman" w:hAnsi="Times New Roman" w:cs="Times New Roman"/>
        </w:rPr>
        <w:t>о.</w:t>
      </w:r>
      <w:r w:rsidR="00BC245C">
        <w:rPr>
          <w:rFonts w:ascii="Times New Roman" w:hAnsi="Times New Roman" w:cs="Times New Roman"/>
        </w:rPr>
        <w:t xml:space="preserve"> Сардиния</w:t>
      </w:r>
      <w:r w:rsidRPr="00063C64">
        <w:rPr>
          <w:rFonts w:ascii="Times New Roman" w:hAnsi="Times New Roman" w:cs="Times New Roman"/>
        </w:rPr>
        <w:t xml:space="preserve"> (Таблица 1).</w:t>
      </w:r>
    </w:p>
    <w:p w:rsidR="00A74448" w:rsidRPr="00063C64" w:rsidRDefault="00A74448" w:rsidP="00A7444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66537E" w:rsidRPr="00063C64" w:rsidRDefault="0066537E" w:rsidP="00047DD5">
      <w:pPr>
        <w:jc w:val="both"/>
      </w:pPr>
      <w:r w:rsidRPr="00063C64">
        <w:t xml:space="preserve">Таблица 1 – Содержание </w:t>
      </w:r>
      <w:r w:rsidR="00A74448">
        <w:t xml:space="preserve">международных </w:t>
      </w:r>
      <w:r w:rsidR="00076912" w:rsidRPr="00063C64">
        <w:t xml:space="preserve">образовательных </w:t>
      </w:r>
      <w:r w:rsidR="002A165B">
        <w:t>программ</w:t>
      </w:r>
      <w:r w:rsidR="00076912" w:rsidRPr="00063C64">
        <w:t xml:space="preserve">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977"/>
        <w:gridCol w:w="3685"/>
      </w:tblGrid>
      <w:tr w:rsidR="004670DD" w:rsidRPr="00063C64" w:rsidTr="00047DD5">
        <w:trPr>
          <w:trHeight w:val="939"/>
        </w:trPr>
        <w:tc>
          <w:tcPr>
            <w:tcW w:w="2552" w:type="dxa"/>
            <w:vAlign w:val="center"/>
          </w:tcPr>
          <w:p w:rsidR="0021109E" w:rsidRPr="00063C64" w:rsidRDefault="0021109E" w:rsidP="00193E98">
            <w:pPr>
              <w:jc w:val="center"/>
            </w:pPr>
            <w:r w:rsidRPr="00063C64">
              <w:t>Название программы</w:t>
            </w:r>
          </w:p>
        </w:tc>
        <w:tc>
          <w:tcPr>
            <w:tcW w:w="2977" w:type="dxa"/>
            <w:vAlign w:val="center"/>
          </w:tcPr>
          <w:p w:rsidR="0021109E" w:rsidRPr="00063C64" w:rsidRDefault="004670DD" w:rsidP="00047DD5">
            <w:pPr>
              <w:jc w:val="center"/>
            </w:pPr>
            <w:r w:rsidRPr="00063C64">
              <w:t>Посещаемые у</w:t>
            </w:r>
            <w:r w:rsidR="0021109E" w:rsidRPr="00063C64">
              <w:t>чреждения образования</w:t>
            </w:r>
          </w:p>
        </w:tc>
        <w:tc>
          <w:tcPr>
            <w:tcW w:w="3685" w:type="dxa"/>
            <w:vAlign w:val="center"/>
          </w:tcPr>
          <w:p w:rsidR="0021109E" w:rsidRPr="00063C64" w:rsidRDefault="0021109E" w:rsidP="00193E98">
            <w:pPr>
              <w:jc w:val="center"/>
            </w:pPr>
            <w:r w:rsidRPr="00063C64">
              <w:t>Объекты логистической инфраструктуры, опыт работы которых был изучен</w:t>
            </w:r>
          </w:p>
        </w:tc>
      </w:tr>
      <w:tr w:rsidR="004670DD" w:rsidRPr="00063C64" w:rsidTr="00047DD5">
        <w:trPr>
          <w:trHeight w:val="1822"/>
        </w:trPr>
        <w:tc>
          <w:tcPr>
            <w:tcW w:w="2552" w:type="dxa"/>
            <w:vAlign w:val="center"/>
          </w:tcPr>
          <w:p w:rsidR="0021109E" w:rsidRPr="00063C64" w:rsidRDefault="0021109E" w:rsidP="00193E98">
            <w:pPr>
              <w:jc w:val="center"/>
            </w:pPr>
            <w:r w:rsidRPr="00063C64">
              <w:t>«Современные технологии управления объектами логистической инфраструктуры в странах Прибалтики»</w:t>
            </w:r>
          </w:p>
        </w:tc>
        <w:tc>
          <w:tcPr>
            <w:tcW w:w="2977" w:type="dxa"/>
            <w:vAlign w:val="center"/>
          </w:tcPr>
          <w:p w:rsidR="0021109E" w:rsidRPr="00063C64" w:rsidRDefault="0021109E" w:rsidP="006C6698">
            <w:pPr>
              <w:tabs>
                <w:tab w:val="left" w:pos="34"/>
                <w:tab w:val="left" w:pos="459"/>
              </w:tabs>
              <w:ind w:left="175" w:right="-108" w:hanging="141"/>
            </w:pPr>
            <w:r w:rsidRPr="00063C64">
              <w:t>- Балтийская Международная Академия;</w:t>
            </w:r>
          </w:p>
          <w:p w:rsidR="0021109E" w:rsidRPr="00063C64" w:rsidRDefault="0021109E" w:rsidP="006C6698">
            <w:pPr>
              <w:tabs>
                <w:tab w:val="left" w:pos="34"/>
                <w:tab w:val="left" w:pos="459"/>
              </w:tabs>
              <w:ind w:left="175" w:hanging="141"/>
            </w:pPr>
            <w:r w:rsidRPr="00063C64">
              <w:t>- Вильнюсский технический университет им. Гедымина</w:t>
            </w:r>
          </w:p>
        </w:tc>
        <w:tc>
          <w:tcPr>
            <w:tcW w:w="3685" w:type="dxa"/>
            <w:vAlign w:val="center"/>
          </w:tcPr>
          <w:p w:rsidR="0021109E" w:rsidRPr="00063C64" w:rsidRDefault="0021109E" w:rsidP="006C6698">
            <w:pPr>
              <w:ind w:left="175" w:hanging="142"/>
            </w:pPr>
            <w:r w:rsidRPr="00063C64">
              <w:t>- транспортно-логистический центр БелВингесЛогистик;</w:t>
            </w:r>
          </w:p>
          <w:p w:rsidR="0021109E" w:rsidRPr="00063C64" w:rsidRDefault="0021109E" w:rsidP="006C6698">
            <w:pPr>
              <w:ind w:left="175" w:hanging="142"/>
            </w:pPr>
            <w:r w:rsidRPr="00063C64">
              <w:t xml:space="preserve"> - паромная компания </w:t>
            </w:r>
            <w:r w:rsidRPr="00063C64">
              <w:rPr>
                <w:lang w:val="en-US"/>
              </w:rPr>
              <w:t>Viking</w:t>
            </w:r>
            <w:r w:rsidRPr="00063C64">
              <w:t>;</w:t>
            </w:r>
          </w:p>
          <w:p w:rsidR="0021109E" w:rsidRPr="00063C64" w:rsidRDefault="0021109E" w:rsidP="006C6698">
            <w:pPr>
              <w:ind w:left="175" w:hanging="142"/>
            </w:pPr>
            <w:r w:rsidRPr="00063C64">
              <w:t>- Рижский свободный порт;</w:t>
            </w:r>
          </w:p>
          <w:p w:rsidR="0021109E" w:rsidRPr="00063C64" w:rsidRDefault="0021109E" w:rsidP="006C6698">
            <w:pPr>
              <w:ind w:left="175" w:hanging="142"/>
            </w:pPr>
            <w:r w:rsidRPr="00063C64">
              <w:t>- Клайпедский порт.</w:t>
            </w:r>
          </w:p>
        </w:tc>
      </w:tr>
      <w:tr w:rsidR="004670DD" w:rsidRPr="00063C64" w:rsidTr="00047DD5">
        <w:trPr>
          <w:trHeight w:val="2849"/>
        </w:trPr>
        <w:tc>
          <w:tcPr>
            <w:tcW w:w="2552" w:type="dxa"/>
            <w:vAlign w:val="center"/>
          </w:tcPr>
          <w:p w:rsidR="0021109E" w:rsidRPr="00063C64" w:rsidRDefault="0021109E" w:rsidP="00193E98">
            <w:pPr>
              <w:jc w:val="center"/>
            </w:pPr>
            <w:r w:rsidRPr="00063C64">
              <w:t>«Современные технологии управления объектами логистической инфраструктуры в Польше и Германии»</w:t>
            </w:r>
          </w:p>
        </w:tc>
        <w:tc>
          <w:tcPr>
            <w:tcW w:w="2977" w:type="dxa"/>
            <w:vAlign w:val="center"/>
          </w:tcPr>
          <w:p w:rsidR="0021109E" w:rsidRPr="00063C64" w:rsidRDefault="0021109E" w:rsidP="006C6698">
            <w:pPr>
              <w:tabs>
                <w:tab w:val="left" w:pos="34"/>
              </w:tabs>
              <w:ind w:left="175" w:hanging="141"/>
            </w:pPr>
            <w:r w:rsidRPr="00063C64">
              <w:t>- Высшая школа экономики в</w:t>
            </w:r>
            <w:r w:rsidR="006C6698">
              <w:t xml:space="preserve"> </w:t>
            </w:r>
            <w:r w:rsidRPr="00063C64">
              <w:t>г. Варшава;</w:t>
            </w:r>
          </w:p>
          <w:p w:rsidR="0021109E" w:rsidRPr="00063C64" w:rsidRDefault="0021109E" w:rsidP="006C6698">
            <w:pPr>
              <w:tabs>
                <w:tab w:val="left" w:pos="34"/>
              </w:tabs>
              <w:ind w:left="175" w:hanging="141"/>
            </w:pPr>
            <w:r w:rsidRPr="00063C64">
              <w:t>- Высшая школа логистики в</w:t>
            </w:r>
            <w:r w:rsidR="00047DD5">
              <w:t xml:space="preserve"> </w:t>
            </w:r>
            <w:r w:rsidRPr="00063C64">
              <w:t>г. Познань.</w:t>
            </w:r>
          </w:p>
        </w:tc>
        <w:tc>
          <w:tcPr>
            <w:tcW w:w="3685" w:type="dxa"/>
            <w:vAlign w:val="center"/>
          </w:tcPr>
          <w:p w:rsidR="0021109E" w:rsidRPr="00063C64" w:rsidRDefault="0021109E" w:rsidP="006C6698">
            <w:pPr>
              <w:ind w:left="175" w:hanging="142"/>
            </w:pPr>
            <w:r w:rsidRPr="00063C64">
              <w:t xml:space="preserve">- логистический центр компании </w:t>
            </w:r>
            <w:r w:rsidRPr="00063C64">
              <w:rPr>
                <w:lang w:val="en-US"/>
              </w:rPr>
              <w:t>PROMAG</w:t>
            </w:r>
            <w:r w:rsidRPr="00063C64">
              <w:t>;</w:t>
            </w:r>
          </w:p>
          <w:p w:rsidR="0021109E" w:rsidRPr="00063C64" w:rsidRDefault="0021109E" w:rsidP="006C6698">
            <w:pPr>
              <w:ind w:left="175" w:hanging="142"/>
            </w:pPr>
            <w:r w:rsidRPr="00063C64">
              <w:t xml:space="preserve">- логистический центр компании </w:t>
            </w:r>
            <w:r w:rsidRPr="00063C64">
              <w:rPr>
                <w:lang w:val="en-US"/>
              </w:rPr>
              <w:t>Kuehne</w:t>
            </w:r>
            <w:r w:rsidRPr="00063C64">
              <w:t xml:space="preserve"> + </w:t>
            </w:r>
            <w:r w:rsidRPr="00063C64">
              <w:rPr>
                <w:lang w:val="en-US"/>
              </w:rPr>
              <w:t>Nagel</w:t>
            </w:r>
            <w:r w:rsidRPr="00063C64">
              <w:t>;</w:t>
            </w:r>
          </w:p>
          <w:p w:rsidR="0021109E" w:rsidRPr="00063C64" w:rsidRDefault="0021109E" w:rsidP="006C6698">
            <w:pPr>
              <w:ind w:left="175" w:hanging="142"/>
            </w:pPr>
            <w:r w:rsidRPr="00063C64">
              <w:t xml:space="preserve">- распределительный центр курьерской службы </w:t>
            </w:r>
            <w:r w:rsidRPr="00063C64">
              <w:rPr>
                <w:lang w:val="en-US"/>
              </w:rPr>
              <w:t>DPD</w:t>
            </w:r>
            <w:r w:rsidRPr="00063C64">
              <w:t xml:space="preserve"> </w:t>
            </w:r>
            <w:r w:rsidRPr="00063C64">
              <w:rPr>
                <w:lang w:val="en-US"/>
              </w:rPr>
              <w:t>Polska</w:t>
            </w:r>
            <w:r w:rsidRPr="00063C64">
              <w:t>;</w:t>
            </w:r>
          </w:p>
          <w:p w:rsidR="0021109E" w:rsidRPr="00063C64" w:rsidRDefault="0021109E" w:rsidP="006C6698">
            <w:pPr>
              <w:ind w:left="175" w:hanging="142"/>
            </w:pPr>
            <w:r w:rsidRPr="00063C64">
              <w:t>- автоматизированный контейнерный терминал в порту Гамбурга.</w:t>
            </w:r>
          </w:p>
        </w:tc>
      </w:tr>
      <w:tr w:rsidR="004670DD" w:rsidRPr="00063C64" w:rsidTr="00047DD5">
        <w:tc>
          <w:tcPr>
            <w:tcW w:w="2552" w:type="dxa"/>
            <w:vAlign w:val="center"/>
          </w:tcPr>
          <w:p w:rsidR="0021109E" w:rsidRPr="00063C64" w:rsidRDefault="0021109E" w:rsidP="00193E98">
            <w:pPr>
              <w:jc w:val="center"/>
            </w:pPr>
            <w:r w:rsidRPr="00063C64">
              <w:t>«Современные технологии управления объектами логистической инфраструктуры Италии, о.Сардиния»</w:t>
            </w:r>
          </w:p>
        </w:tc>
        <w:tc>
          <w:tcPr>
            <w:tcW w:w="2977" w:type="dxa"/>
            <w:vAlign w:val="center"/>
          </w:tcPr>
          <w:p w:rsidR="0021109E" w:rsidRPr="00063C64" w:rsidRDefault="0021109E" w:rsidP="006C6698">
            <w:pPr>
              <w:tabs>
                <w:tab w:val="left" w:pos="34"/>
              </w:tabs>
              <w:ind w:left="175" w:hanging="141"/>
            </w:pPr>
            <w:r w:rsidRPr="00063C64">
              <w:t>- Университет Кальяри (факультет инженирии)</w:t>
            </w:r>
          </w:p>
          <w:p w:rsidR="0021109E" w:rsidRPr="00063C64" w:rsidRDefault="0021109E" w:rsidP="006C6698">
            <w:pPr>
              <w:tabs>
                <w:tab w:val="left" w:pos="34"/>
              </w:tabs>
              <w:ind w:left="175" w:hanging="141"/>
            </w:pPr>
            <w:r w:rsidRPr="00063C64">
              <w:t>- институт транспорта и логистики университета Сапиенза г.Рим</w:t>
            </w:r>
          </w:p>
        </w:tc>
        <w:tc>
          <w:tcPr>
            <w:tcW w:w="3685" w:type="dxa"/>
            <w:vAlign w:val="center"/>
          </w:tcPr>
          <w:p w:rsidR="0021109E" w:rsidRPr="00063C64" w:rsidRDefault="0021109E" w:rsidP="006C6698">
            <w:pPr>
              <w:ind w:left="175" w:hanging="142"/>
            </w:pPr>
            <w:r w:rsidRPr="00063C64">
              <w:t>- порт Ольбия (о. Сардиния);</w:t>
            </w:r>
          </w:p>
          <w:p w:rsidR="0021109E" w:rsidRPr="00063C64" w:rsidRDefault="0021109E" w:rsidP="006C6698">
            <w:pPr>
              <w:ind w:left="175" w:hanging="142"/>
            </w:pPr>
            <w:r w:rsidRPr="00063C64">
              <w:t>- аэропорт Кальяри (о.Сардиния);</w:t>
            </w:r>
          </w:p>
          <w:p w:rsidR="0021109E" w:rsidRPr="00063C64" w:rsidRDefault="0021109E" w:rsidP="006C6698">
            <w:pPr>
              <w:ind w:left="175" w:hanging="142"/>
            </w:pPr>
            <w:r w:rsidRPr="00063C64">
              <w:t>- порт Кальяри (о.Сардиния).</w:t>
            </w:r>
          </w:p>
        </w:tc>
      </w:tr>
    </w:tbl>
    <w:p w:rsidR="00E9787D" w:rsidRPr="00063C64" w:rsidRDefault="00E9787D" w:rsidP="00887B4C">
      <w:pPr>
        <w:ind w:firstLine="709"/>
        <w:jc w:val="both"/>
      </w:pPr>
    </w:p>
    <w:p w:rsidR="00821AE4" w:rsidRDefault="00821AE4" w:rsidP="00A74448">
      <w:pPr>
        <w:ind w:firstLine="709"/>
        <w:jc w:val="both"/>
      </w:pPr>
      <w:r w:rsidRPr="00821AE4">
        <w:t>Анализируя состав участников, можно сделать вывод о том, что с течением времени и ростом популяризации программы все более широкий круг людей желает принять участие в международном образовательном туре по логистике. Так, если в первой программе принимали участие лишь студенты и преподаватели, занятые в сфере логистики, то уже во второй и третьей программах к участникам присоединились заинтересованные лица, обучающиеся по с</w:t>
      </w:r>
      <w:r w:rsidR="00BC245C">
        <w:t>межным специальностям, а также из</w:t>
      </w:r>
      <w:r w:rsidRPr="00821AE4">
        <w:t xml:space="preserve"> других учреждений образований (студенты, магистранты, преподаватели). Кроме того, данная программа оказалась полезной и интересной и для представителей логистических компаний Республики Беларусь </w:t>
      </w:r>
      <w:r w:rsidR="006C6698">
        <w:t xml:space="preserve">(рисунок </w:t>
      </w:r>
      <w:r w:rsidRPr="00821AE4">
        <w:t>1).</w:t>
      </w:r>
    </w:p>
    <w:p w:rsidR="00821AE4" w:rsidRDefault="00821AE4" w:rsidP="00821AE4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486118" cy="3714044"/>
            <wp:effectExtent l="19050" t="0" r="282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1AE4" w:rsidRPr="000F216E" w:rsidRDefault="00821AE4" w:rsidP="00821AE4">
      <w:pPr>
        <w:ind w:firstLine="709"/>
        <w:jc w:val="center"/>
        <w:rPr>
          <w:b/>
        </w:rPr>
      </w:pPr>
      <w:r w:rsidRPr="000F216E">
        <w:rPr>
          <w:b/>
        </w:rPr>
        <w:t xml:space="preserve">Рисунок </w:t>
      </w:r>
      <w:r>
        <w:rPr>
          <w:b/>
        </w:rPr>
        <w:t>1</w:t>
      </w:r>
      <w:r w:rsidRPr="000F216E">
        <w:rPr>
          <w:b/>
        </w:rPr>
        <w:t xml:space="preserve"> - Динамика изменения структуры участников международных образовательных программ по логистике</w:t>
      </w:r>
      <w:r>
        <w:rPr>
          <w:b/>
        </w:rPr>
        <w:t>, чел.</w:t>
      </w:r>
    </w:p>
    <w:p w:rsidR="00821AE4" w:rsidRDefault="00821AE4" w:rsidP="00821AE4">
      <w:pPr>
        <w:rPr>
          <w:sz w:val="28"/>
          <w:szCs w:val="28"/>
        </w:rPr>
      </w:pPr>
    </w:p>
    <w:p w:rsidR="008231DF" w:rsidRPr="00A74448" w:rsidRDefault="008231DF" w:rsidP="008231DF">
      <w:pPr>
        <w:ind w:firstLine="709"/>
        <w:jc w:val="both"/>
      </w:pPr>
      <w:r w:rsidRPr="00A74448">
        <w:t>Также следует обратить внимание на присутствие еще одной не менее важной тенденции - число участников, повторно принимающих участие в программе</w:t>
      </w:r>
      <w:r w:rsidR="00AC608F">
        <w:t>,</w:t>
      </w:r>
      <w:r w:rsidRPr="00A74448">
        <w:t xml:space="preserve"> увеличивается. Следовательно, можно сделать вывод о том, что разработанная программа актуальна на сегодняшний день для широкого круга аудитории, а ее дальнейшее применение носит перспективный характер. </w:t>
      </w:r>
    </w:p>
    <w:p w:rsidR="00A74448" w:rsidRPr="008231DF" w:rsidRDefault="008231DF" w:rsidP="008231DF">
      <w:pPr>
        <w:ind w:firstLine="709"/>
        <w:jc w:val="both"/>
      </w:pPr>
      <w:r>
        <w:t xml:space="preserve">Таким образом, </w:t>
      </w:r>
      <w:r w:rsidR="00A74448" w:rsidRPr="008231DF">
        <w:t xml:space="preserve"> мож</w:t>
      </w:r>
      <w:r>
        <w:t>но</w:t>
      </w:r>
      <w:r w:rsidR="00A74448" w:rsidRPr="008231DF">
        <w:t xml:space="preserve"> констатировать, что </w:t>
      </w:r>
      <w:r w:rsidR="002A165B">
        <w:t>международная образовательная программа</w:t>
      </w:r>
      <w:r w:rsidR="00A74448" w:rsidRPr="008231DF">
        <w:t>, как инновационная форма организации процесса профессиональной подготовки студентов по специальности «Логистика», является востребованной формой практико-ориентированного обучения, активизирующей и стимулирующей образовательный процесс в высшем учебном заведении, отвечающей европейским целевым задачам в области интеграции и интернационализации систем высшего образования.</w:t>
      </w:r>
    </w:p>
    <w:p w:rsidR="00982F85" w:rsidRPr="00063C64" w:rsidRDefault="00982F85" w:rsidP="00887B4C">
      <w:pPr>
        <w:ind w:firstLine="709"/>
        <w:jc w:val="both"/>
      </w:pPr>
    </w:p>
    <w:p w:rsidR="00982F85" w:rsidRPr="008231DF" w:rsidRDefault="0066537E" w:rsidP="00887B4C">
      <w:pPr>
        <w:ind w:firstLine="709"/>
        <w:jc w:val="center"/>
        <w:rPr>
          <w:b/>
        </w:rPr>
      </w:pPr>
      <w:r w:rsidRPr="008231DF">
        <w:rPr>
          <w:b/>
        </w:rPr>
        <w:t>Список литературы</w:t>
      </w:r>
    </w:p>
    <w:p w:rsidR="00351892" w:rsidRPr="00063C64" w:rsidRDefault="00351892" w:rsidP="00887B4C">
      <w:pPr>
        <w:ind w:firstLine="709"/>
        <w:jc w:val="center"/>
      </w:pPr>
    </w:p>
    <w:p w:rsidR="001D0BBA" w:rsidRDefault="001D0BBA" w:rsidP="008231DF">
      <w:pPr>
        <w:pStyle w:val="a7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63C64">
        <w:t>Об организации образовательного процесса в учреждениях образования в 2013/2014 учебном году: Приказ Министерства образования, 26.09.2013 г., № 09</w:t>
      </w:r>
      <w:r w:rsidR="008231DF">
        <w:t xml:space="preserve"> </w:t>
      </w:r>
      <w:r w:rsidRPr="00063C64">
        <w:t>-</w:t>
      </w:r>
      <w:r w:rsidR="008231DF">
        <w:t xml:space="preserve"> </w:t>
      </w:r>
      <w:r w:rsidRPr="00063C64">
        <w:t>20/П-446/4</w:t>
      </w:r>
    </w:p>
    <w:p w:rsidR="008231DF" w:rsidRDefault="008231DF" w:rsidP="008231DF">
      <w:pPr>
        <w:pStyle w:val="a7"/>
        <w:numPr>
          <w:ilvl w:val="0"/>
          <w:numId w:val="10"/>
        </w:numPr>
        <w:tabs>
          <w:tab w:val="left" w:pos="0"/>
          <w:tab w:val="left" w:pos="142"/>
        </w:tabs>
        <w:ind w:left="0" w:firstLine="709"/>
        <w:jc w:val="both"/>
        <w:rPr>
          <w:szCs w:val="28"/>
        </w:rPr>
      </w:pPr>
      <w:r w:rsidRPr="00177407">
        <w:rPr>
          <w:szCs w:val="28"/>
        </w:rPr>
        <w:t>Международная студенческая мобильность</w:t>
      </w:r>
      <w:r>
        <w:rPr>
          <w:szCs w:val="28"/>
        </w:rPr>
        <w:t xml:space="preserve"> </w:t>
      </w:r>
      <w:r w:rsidRPr="00150BEC">
        <w:rPr>
          <w:bCs/>
          <w:iCs/>
          <w:szCs w:val="28"/>
        </w:rPr>
        <w:t xml:space="preserve">/ </w:t>
      </w:r>
      <w:r w:rsidRPr="00150BEC">
        <w:rPr>
          <w:szCs w:val="28"/>
        </w:rPr>
        <w:t>[Электронный ресурс]. - Режим доступа</w:t>
      </w:r>
      <w:r>
        <w:rPr>
          <w:szCs w:val="28"/>
        </w:rPr>
        <w:t xml:space="preserve"> </w:t>
      </w:r>
      <w:r w:rsidRPr="00150BEC">
        <w:rPr>
          <w:szCs w:val="28"/>
        </w:rPr>
        <w:t>:</w:t>
      </w:r>
      <w:r>
        <w:rPr>
          <w:szCs w:val="28"/>
        </w:rPr>
        <w:t xml:space="preserve"> </w:t>
      </w:r>
      <w:r w:rsidRPr="00177407">
        <w:rPr>
          <w:szCs w:val="28"/>
        </w:rPr>
        <w:t>http://www.hse.ru/data/2012/11/16/1247860429/5.%20</w:t>
      </w:r>
      <w:r>
        <w:rPr>
          <w:szCs w:val="28"/>
        </w:rPr>
        <w:t xml:space="preserve"> </w:t>
      </w:r>
      <w:r w:rsidRPr="00177407">
        <w:rPr>
          <w:szCs w:val="28"/>
        </w:rPr>
        <w:t>Международная%20студенческая%20мобильность%20МСЖ%202011%20осень.pdf</w:t>
      </w:r>
      <w:r>
        <w:rPr>
          <w:szCs w:val="28"/>
        </w:rPr>
        <w:t xml:space="preserve"> </w:t>
      </w:r>
      <w:r w:rsidRPr="00C122D5">
        <w:rPr>
          <w:szCs w:val="28"/>
        </w:rPr>
        <w:t>/</w:t>
      </w:r>
      <w:r w:rsidRPr="00150BEC">
        <w:rPr>
          <w:szCs w:val="28"/>
        </w:rPr>
        <w:t xml:space="preserve">- Дата доступа: </w:t>
      </w:r>
      <w:r>
        <w:rPr>
          <w:szCs w:val="28"/>
        </w:rPr>
        <w:t>4</w:t>
      </w:r>
      <w:r w:rsidRPr="00150BEC">
        <w:rPr>
          <w:szCs w:val="28"/>
        </w:rPr>
        <w:t>.</w:t>
      </w:r>
      <w:r>
        <w:rPr>
          <w:szCs w:val="28"/>
        </w:rPr>
        <w:t>11</w:t>
      </w:r>
      <w:r w:rsidRPr="00150BEC">
        <w:rPr>
          <w:szCs w:val="28"/>
        </w:rPr>
        <w:t>.2013.</w:t>
      </w:r>
    </w:p>
    <w:p w:rsidR="008231DF" w:rsidRPr="00063C64" w:rsidRDefault="008231DF" w:rsidP="008231DF">
      <w:pPr>
        <w:pStyle w:val="a7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284" w:firstLine="425"/>
        <w:jc w:val="both"/>
      </w:pPr>
    </w:p>
    <w:sectPr w:rsidR="008231DF" w:rsidRPr="00063C64" w:rsidSect="00A12A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881"/>
    <w:multiLevelType w:val="hybridMultilevel"/>
    <w:tmpl w:val="DD521F4C"/>
    <w:lvl w:ilvl="0" w:tplc="473E9AA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03EB"/>
    <w:multiLevelType w:val="hybridMultilevel"/>
    <w:tmpl w:val="AFB2F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643F"/>
    <w:multiLevelType w:val="hybridMultilevel"/>
    <w:tmpl w:val="0FD49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B11461"/>
    <w:multiLevelType w:val="hybridMultilevel"/>
    <w:tmpl w:val="1FDCB23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A6832"/>
    <w:multiLevelType w:val="hybridMultilevel"/>
    <w:tmpl w:val="2F2AE208"/>
    <w:lvl w:ilvl="0" w:tplc="FED4D7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E49EE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DCC3C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CEA28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9D8960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286C90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4642774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50CD44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9BAB16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AA5F8F"/>
    <w:multiLevelType w:val="hybridMultilevel"/>
    <w:tmpl w:val="5F38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B6482"/>
    <w:multiLevelType w:val="multilevel"/>
    <w:tmpl w:val="1DFA7E4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406BF1"/>
    <w:multiLevelType w:val="hybridMultilevel"/>
    <w:tmpl w:val="FBB298F0"/>
    <w:lvl w:ilvl="0" w:tplc="A5CAA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3B416F"/>
    <w:multiLevelType w:val="hybridMultilevel"/>
    <w:tmpl w:val="1DFA7E4E"/>
    <w:lvl w:ilvl="0" w:tplc="06DA5A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FE49EE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DCC3C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CEA28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9D8960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286C90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4642774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50CD44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9BAB16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AC9684E"/>
    <w:multiLevelType w:val="multilevel"/>
    <w:tmpl w:val="ABA6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151C9"/>
    <w:multiLevelType w:val="hybridMultilevel"/>
    <w:tmpl w:val="953E1590"/>
    <w:lvl w:ilvl="0" w:tplc="ED70962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275D75"/>
    <w:multiLevelType w:val="multilevel"/>
    <w:tmpl w:val="5C5C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23D9B"/>
    <w:multiLevelType w:val="hybridMultilevel"/>
    <w:tmpl w:val="2D28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/>
  <w:rsids>
    <w:rsidRoot w:val="00757BD9"/>
    <w:rsid w:val="000028B5"/>
    <w:rsid w:val="00002D67"/>
    <w:rsid w:val="00003181"/>
    <w:rsid w:val="0001476F"/>
    <w:rsid w:val="00020A3F"/>
    <w:rsid w:val="00034921"/>
    <w:rsid w:val="00047DD5"/>
    <w:rsid w:val="00054E35"/>
    <w:rsid w:val="0005637D"/>
    <w:rsid w:val="00063C64"/>
    <w:rsid w:val="00076912"/>
    <w:rsid w:val="000802C4"/>
    <w:rsid w:val="000951AB"/>
    <w:rsid w:val="000A28EE"/>
    <w:rsid w:val="000B0EAD"/>
    <w:rsid w:val="000E40EA"/>
    <w:rsid w:val="00105180"/>
    <w:rsid w:val="00112472"/>
    <w:rsid w:val="00140AD5"/>
    <w:rsid w:val="0017555A"/>
    <w:rsid w:val="00193E98"/>
    <w:rsid w:val="001C0D27"/>
    <w:rsid w:val="001D0BBA"/>
    <w:rsid w:val="001F0206"/>
    <w:rsid w:val="0021109E"/>
    <w:rsid w:val="002135E2"/>
    <w:rsid w:val="002212BC"/>
    <w:rsid w:val="00260978"/>
    <w:rsid w:val="00270845"/>
    <w:rsid w:val="002A165B"/>
    <w:rsid w:val="002F010F"/>
    <w:rsid w:val="003461B2"/>
    <w:rsid w:val="00351892"/>
    <w:rsid w:val="00354C04"/>
    <w:rsid w:val="003615E3"/>
    <w:rsid w:val="003873B6"/>
    <w:rsid w:val="00443CCB"/>
    <w:rsid w:val="004463D1"/>
    <w:rsid w:val="004670DD"/>
    <w:rsid w:val="00481331"/>
    <w:rsid w:val="004D2E2F"/>
    <w:rsid w:val="00591DBC"/>
    <w:rsid w:val="005B0A96"/>
    <w:rsid w:val="005F44B7"/>
    <w:rsid w:val="005F50BE"/>
    <w:rsid w:val="00624937"/>
    <w:rsid w:val="00640A5F"/>
    <w:rsid w:val="0066537E"/>
    <w:rsid w:val="006928A6"/>
    <w:rsid w:val="006A0146"/>
    <w:rsid w:val="006A1D7F"/>
    <w:rsid w:val="006B6281"/>
    <w:rsid w:val="006C6698"/>
    <w:rsid w:val="007047AE"/>
    <w:rsid w:val="007157EA"/>
    <w:rsid w:val="00750F3F"/>
    <w:rsid w:val="0075378F"/>
    <w:rsid w:val="00757BD9"/>
    <w:rsid w:val="00761396"/>
    <w:rsid w:val="007A3CA2"/>
    <w:rsid w:val="007D28C6"/>
    <w:rsid w:val="007E697F"/>
    <w:rsid w:val="007F09CF"/>
    <w:rsid w:val="00821AE4"/>
    <w:rsid w:val="008231DF"/>
    <w:rsid w:val="00855E34"/>
    <w:rsid w:val="00887B4C"/>
    <w:rsid w:val="008906BC"/>
    <w:rsid w:val="008A637C"/>
    <w:rsid w:val="008D5A80"/>
    <w:rsid w:val="009069D8"/>
    <w:rsid w:val="0093339A"/>
    <w:rsid w:val="0094312C"/>
    <w:rsid w:val="00953BAF"/>
    <w:rsid w:val="00953D47"/>
    <w:rsid w:val="00982F85"/>
    <w:rsid w:val="009B153C"/>
    <w:rsid w:val="009E0B65"/>
    <w:rsid w:val="009F4251"/>
    <w:rsid w:val="00A04106"/>
    <w:rsid w:val="00A12A63"/>
    <w:rsid w:val="00A14C0E"/>
    <w:rsid w:val="00A2524C"/>
    <w:rsid w:val="00A31888"/>
    <w:rsid w:val="00A459C0"/>
    <w:rsid w:val="00A74448"/>
    <w:rsid w:val="00AC3869"/>
    <w:rsid w:val="00AC608F"/>
    <w:rsid w:val="00B264EC"/>
    <w:rsid w:val="00B27A8E"/>
    <w:rsid w:val="00B67A23"/>
    <w:rsid w:val="00B75778"/>
    <w:rsid w:val="00B90A31"/>
    <w:rsid w:val="00BB423B"/>
    <w:rsid w:val="00BB6155"/>
    <w:rsid w:val="00BC245C"/>
    <w:rsid w:val="00BF4C0E"/>
    <w:rsid w:val="00C601F7"/>
    <w:rsid w:val="00CA71D9"/>
    <w:rsid w:val="00CB16C8"/>
    <w:rsid w:val="00CB1B28"/>
    <w:rsid w:val="00CC47AC"/>
    <w:rsid w:val="00CD1851"/>
    <w:rsid w:val="00CE6C7E"/>
    <w:rsid w:val="00D26510"/>
    <w:rsid w:val="00D35CB8"/>
    <w:rsid w:val="00D80EC3"/>
    <w:rsid w:val="00DA3CC8"/>
    <w:rsid w:val="00DF3EBA"/>
    <w:rsid w:val="00DF5100"/>
    <w:rsid w:val="00E10902"/>
    <w:rsid w:val="00E31D0A"/>
    <w:rsid w:val="00E47F77"/>
    <w:rsid w:val="00E701C5"/>
    <w:rsid w:val="00E9209C"/>
    <w:rsid w:val="00E9787D"/>
    <w:rsid w:val="00EB4900"/>
    <w:rsid w:val="00EF77A0"/>
    <w:rsid w:val="00F71FD8"/>
    <w:rsid w:val="00FB247B"/>
    <w:rsid w:val="00FB29D4"/>
    <w:rsid w:val="00FD494C"/>
    <w:rsid w:val="00FE0FEA"/>
    <w:rsid w:val="00FE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3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1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15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1D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a5">
    <w:name w:val="Table Grid"/>
    <w:basedOn w:val="a1"/>
    <w:locked/>
    <w:rsid w:val="000031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A3CC8"/>
  </w:style>
  <w:style w:type="character" w:styleId="a6">
    <w:name w:val="Hyperlink"/>
    <w:basedOn w:val="a0"/>
    <w:uiPriority w:val="99"/>
    <w:unhideWhenUsed/>
    <w:rsid w:val="00B90A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0BB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0951A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студенты и преподаватели, занятые в сфере логистики УО "БГЭУ"</c:v>
                </c:pt>
              </c:strCache>
            </c:strRef>
          </c:tx>
          <c:spPr>
            <a:solidFill>
              <a:srgbClr val="CC99FF"/>
            </a:solidFill>
          </c:spPr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1-ая программа по странам Прибалтики</c:v>
                </c:pt>
                <c:pt idx="1">
                  <c:v> 2-ая программа по  Польши и Германии</c:v>
                </c:pt>
                <c:pt idx="2">
                  <c:v> 3-я программа по  Италии, о.Садиния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35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студенты, магистранты, преподаватели ,занятые в смежных специальностях</c:v>
                </c:pt>
              </c:strCache>
            </c:strRef>
          </c:tx>
          <c:spPr>
            <a:solidFill>
              <a:srgbClr val="CCFF99"/>
            </a:solidFill>
          </c:spPr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1-ая программа по странам Прибалтики</c:v>
                </c:pt>
                <c:pt idx="1">
                  <c:v> 2-ая программа по  Польши и Германии</c:v>
                </c:pt>
                <c:pt idx="2">
                  <c:v> 3-я программа по  Италии, о.Садиния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</c:ser>
        <c:dLbls>
          <c:showVal val="1"/>
        </c:dLbls>
        <c:gapWidth val="75"/>
        <c:shape val="cylinder"/>
        <c:axId val="62304256"/>
        <c:axId val="62305792"/>
        <c:axId val="0"/>
      </c:bar3DChart>
      <c:catAx>
        <c:axId val="623042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305792"/>
        <c:crosses val="autoZero"/>
        <c:auto val="1"/>
        <c:lblAlgn val="ctr"/>
        <c:lblOffset val="100"/>
      </c:catAx>
      <c:valAx>
        <c:axId val="6230579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304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0549780770998038E-2"/>
          <c:y val="0.85018606719330281"/>
          <c:w val="0.93890025604838889"/>
          <c:h val="0.127682784551529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9CC1-0F85-4534-8C3C-F0EE69F9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ИННОВАЦИОННЫЕ МЕТОДЫ ОБУЧЕНИЯ СТУДЕНТОВ ПО СПЕЦИАЛЬНОСТИ "ЛОГИСТИКА" КАК СРЕДСТВО ПОВЫШЕНИЯ ЭФФЕКТИВНОСТИ ПЕДАГОГИЧЕСКОГО ПРОЦЕССА</vt:lpstr>
    </vt:vector>
  </TitlesOfParts>
  <Company>Computer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ИННОВАЦИОННЫЕ МЕТОДЫ ОБУЧЕНИЯ СТУДЕНТОВ ПО СПЕЦИАЛЬНОСТИ "ЛОГИСТИКА" КАК СРЕДСТВО ПОВЫШЕНИЯ ЭФФЕКТИВНОСТИ ПЕДАГОГИЧЕСКОГО ПРОЦЕССА</dc:title>
  <dc:creator>sergio</dc:creator>
  <cp:lastModifiedBy>pronevich</cp:lastModifiedBy>
  <cp:revision>15</cp:revision>
  <dcterms:created xsi:type="dcterms:W3CDTF">2013-11-19T09:15:00Z</dcterms:created>
  <dcterms:modified xsi:type="dcterms:W3CDTF">2013-11-25T08:57:00Z</dcterms:modified>
</cp:coreProperties>
</file>