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5E" w:rsidRPr="00C97D7B" w:rsidRDefault="0032385E" w:rsidP="0032385E">
      <w:pPr>
        <w:pStyle w:val="a4"/>
        <w:jc w:val="center"/>
        <w:rPr>
          <w:rFonts w:ascii="Times New Roman" w:hAnsi="Times New Roman"/>
          <w:b/>
          <w:sz w:val="28"/>
          <w:szCs w:val="28"/>
        </w:rPr>
      </w:pPr>
      <w:r w:rsidRPr="00C97D7B">
        <w:rPr>
          <w:rFonts w:ascii="Times New Roman" w:hAnsi="Times New Roman"/>
          <w:b/>
          <w:sz w:val="28"/>
          <w:szCs w:val="28"/>
        </w:rPr>
        <w:t>ПРИМЕНЕНИЕ ЛОГИКО-СТРУКТУРНОГО ПОДХОДА</w:t>
      </w:r>
      <w:r w:rsidR="002E71F2" w:rsidRPr="002E71F2">
        <w:rPr>
          <w:rFonts w:ascii="Times New Roman" w:hAnsi="Times New Roman"/>
          <w:b/>
          <w:sz w:val="28"/>
          <w:szCs w:val="28"/>
        </w:rPr>
        <w:t xml:space="preserve"> </w:t>
      </w:r>
      <w:r w:rsidRPr="00C97D7B">
        <w:rPr>
          <w:rFonts w:ascii="Times New Roman" w:hAnsi="Times New Roman"/>
          <w:b/>
          <w:sz w:val="28"/>
          <w:szCs w:val="28"/>
        </w:rPr>
        <w:t>ДЛЯ ОЦЕНКИ ОГРАНИЧЕНИЙ ГОРОДСКОЙ МОБИЛЬНОСТИ</w:t>
      </w:r>
    </w:p>
    <w:p w:rsidR="0032385E" w:rsidRPr="00C97D7B" w:rsidRDefault="0032385E" w:rsidP="0032385E">
      <w:pPr>
        <w:pStyle w:val="a4"/>
        <w:jc w:val="center"/>
        <w:rPr>
          <w:rFonts w:ascii="Times New Roman" w:hAnsi="Times New Roman"/>
          <w:bCs/>
          <w:iCs/>
          <w:sz w:val="26"/>
        </w:rPr>
      </w:pPr>
    </w:p>
    <w:p w:rsidR="0032385E" w:rsidRPr="00C97D7B" w:rsidRDefault="0032385E" w:rsidP="0032385E">
      <w:pPr>
        <w:pStyle w:val="a4"/>
        <w:jc w:val="center"/>
        <w:rPr>
          <w:rFonts w:ascii="Times New Roman" w:hAnsi="Times New Roman"/>
          <w:b/>
          <w:bCs/>
          <w:iCs/>
          <w:sz w:val="24"/>
          <w:szCs w:val="24"/>
        </w:rPr>
      </w:pPr>
      <w:r w:rsidRPr="00C97D7B">
        <w:rPr>
          <w:rFonts w:ascii="Times New Roman" w:hAnsi="Times New Roman"/>
          <w:b/>
          <w:bCs/>
          <w:iCs/>
          <w:sz w:val="24"/>
          <w:szCs w:val="24"/>
        </w:rPr>
        <w:t>Королев Андрей Валерьевич</w:t>
      </w:r>
    </w:p>
    <w:p w:rsidR="0032385E" w:rsidRPr="00C97D7B" w:rsidRDefault="0032385E" w:rsidP="0032385E">
      <w:pPr>
        <w:pStyle w:val="a4"/>
        <w:jc w:val="center"/>
        <w:rPr>
          <w:rFonts w:ascii="Times New Roman" w:hAnsi="Times New Roman"/>
          <w:b/>
          <w:bCs/>
          <w:iCs/>
          <w:sz w:val="24"/>
          <w:szCs w:val="24"/>
        </w:rPr>
      </w:pPr>
      <w:proofErr w:type="spellStart"/>
      <w:r w:rsidRPr="00C97D7B">
        <w:rPr>
          <w:rFonts w:ascii="Times New Roman" w:hAnsi="Times New Roman"/>
          <w:b/>
          <w:bCs/>
          <w:iCs/>
          <w:sz w:val="24"/>
          <w:szCs w:val="24"/>
        </w:rPr>
        <w:t>Готин</w:t>
      </w:r>
      <w:proofErr w:type="spellEnd"/>
      <w:r w:rsidRPr="00C97D7B">
        <w:rPr>
          <w:rFonts w:ascii="Times New Roman" w:hAnsi="Times New Roman"/>
          <w:b/>
          <w:bCs/>
          <w:iCs/>
          <w:sz w:val="24"/>
          <w:szCs w:val="24"/>
        </w:rPr>
        <w:t xml:space="preserve"> Сергей Валерьевич </w:t>
      </w:r>
    </w:p>
    <w:p w:rsidR="0032385E" w:rsidRPr="00C97D7B" w:rsidRDefault="0032385E" w:rsidP="0032385E">
      <w:pPr>
        <w:pStyle w:val="a4"/>
        <w:jc w:val="center"/>
        <w:rPr>
          <w:rFonts w:ascii="Times New Roman" w:hAnsi="Times New Roman"/>
          <w:iCs/>
          <w:sz w:val="24"/>
          <w:szCs w:val="24"/>
        </w:rPr>
      </w:pPr>
      <w:r w:rsidRPr="00C97D7B">
        <w:rPr>
          <w:rFonts w:ascii="Times New Roman" w:hAnsi="Times New Roman"/>
          <w:iCs/>
          <w:sz w:val="24"/>
          <w:szCs w:val="24"/>
        </w:rPr>
        <w:t xml:space="preserve">Институт бизнеса и менеджмента технологий БГУ, </w:t>
      </w:r>
    </w:p>
    <w:p w:rsidR="0032385E" w:rsidRPr="003311F2" w:rsidRDefault="0032385E" w:rsidP="0032385E">
      <w:pPr>
        <w:pStyle w:val="a4"/>
        <w:jc w:val="center"/>
        <w:rPr>
          <w:rFonts w:ascii="Times New Roman" w:hAnsi="Times New Roman"/>
          <w:sz w:val="24"/>
          <w:szCs w:val="24"/>
        </w:rPr>
      </w:pPr>
      <w:proofErr w:type="spellStart"/>
      <w:r w:rsidRPr="00C97D7B">
        <w:rPr>
          <w:rFonts w:ascii="Times New Roman" w:hAnsi="Times New Roman"/>
          <w:iCs/>
          <w:sz w:val="24"/>
          <w:szCs w:val="24"/>
        </w:rPr>
        <w:t>г</w:t>
      </w:r>
      <w:proofErr w:type="gramStart"/>
      <w:r w:rsidRPr="003311F2">
        <w:rPr>
          <w:rFonts w:ascii="Times New Roman" w:hAnsi="Times New Roman"/>
          <w:iCs/>
          <w:sz w:val="24"/>
          <w:szCs w:val="24"/>
        </w:rPr>
        <w:t>.</w:t>
      </w:r>
      <w:r w:rsidRPr="00C97D7B">
        <w:rPr>
          <w:rFonts w:ascii="Times New Roman" w:hAnsi="Times New Roman"/>
          <w:iCs/>
          <w:sz w:val="24"/>
          <w:szCs w:val="24"/>
        </w:rPr>
        <w:t>М</w:t>
      </w:r>
      <w:proofErr w:type="gramEnd"/>
      <w:r w:rsidRPr="00C97D7B">
        <w:rPr>
          <w:rFonts w:ascii="Times New Roman" w:hAnsi="Times New Roman"/>
          <w:iCs/>
          <w:sz w:val="24"/>
          <w:szCs w:val="24"/>
        </w:rPr>
        <w:t>инск</w:t>
      </w:r>
      <w:proofErr w:type="spellEnd"/>
      <w:r w:rsidRPr="003311F2">
        <w:rPr>
          <w:rFonts w:ascii="Times New Roman" w:hAnsi="Times New Roman"/>
          <w:iCs/>
          <w:sz w:val="24"/>
          <w:szCs w:val="24"/>
        </w:rPr>
        <w:t xml:space="preserve">, </w:t>
      </w:r>
      <w:r w:rsidRPr="00C97D7B">
        <w:rPr>
          <w:rFonts w:ascii="Times New Roman" w:hAnsi="Times New Roman"/>
          <w:iCs/>
          <w:sz w:val="24"/>
          <w:szCs w:val="24"/>
        </w:rPr>
        <w:t>Республика</w:t>
      </w:r>
      <w:r w:rsidRPr="003311F2">
        <w:rPr>
          <w:rFonts w:ascii="Times New Roman" w:hAnsi="Times New Roman"/>
          <w:iCs/>
          <w:sz w:val="24"/>
          <w:szCs w:val="24"/>
        </w:rPr>
        <w:t xml:space="preserve"> </w:t>
      </w:r>
      <w:r w:rsidRPr="00C97D7B">
        <w:rPr>
          <w:rFonts w:ascii="Times New Roman" w:hAnsi="Times New Roman"/>
          <w:iCs/>
          <w:sz w:val="24"/>
          <w:szCs w:val="24"/>
        </w:rPr>
        <w:t>Беларусь</w:t>
      </w:r>
    </w:p>
    <w:p w:rsidR="0032385E" w:rsidRPr="003311F2" w:rsidRDefault="0032385E" w:rsidP="0032385E">
      <w:pPr>
        <w:pStyle w:val="a4"/>
        <w:jc w:val="both"/>
        <w:rPr>
          <w:rFonts w:ascii="Times New Roman" w:hAnsi="Times New Roman"/>
        </w:rPr>
      </w:pPr>
    </w:p>
    <w:p w:rsidR="0032385E" w:rsidRDefault="003311F2" w:rsidP="0032385E">
      <w:pPr>
        <w:pStyle w:val="a4"/>
        <w:ind w:firstLine="708"/>
        <w:jc w:val="both"/>
        <w:rPr>
          <w:rFonts w:ascii="Times New Roman" w:hAnsi="Times New Roman"/>
          <w:i/>
          <w:sz w:val="24"/>
          <w:szCs w:val="24"/>
          <w:lang w:val="en-US"/>
        </w:rPr>
      </w:pPr>
      <w:r w:rsidRPr="003311F2">
        <w:rPr>
          <w:rFonts w:ascii="Times New Roman" w:hAnsi="Times New Roman"/>
          <w:i/>
          <w:sz w:val="24"/>
          <w:szCs w:val="24"/>
          <w:lang w:val="en-US"/>
        </w:rPr>
        <w:t>The Logical Framework Approach is a methodology for planning project activities. The methodology also provides a universal format of the</w:t>
      </w:r>
      <w:r>
        <w:rPr>
          <w:rFonts w:ascii="Times New Roman" w:hAnsi="Times New Roman"/>
          <w:i/>
          <w:sz w:val="24"/>
          <w:szCs w:val="24"/>
          <w:lang w:val="en-US"/>
        </w:rPr>
        <w:t xml:space="preserve"> project document as a </w:t>
      </w:r>
      <w:proofErr w:type="spellStart"/>
      <w:r>
        <w:rPr>
          <w:rFonts w:ascii="Times New Roman" w:hAnsi="Times New Roman"/>
          <w:i/>
          <w:sz w:val="24"/>
          <w:szCs w:val="24"/>
          <w:lang w:val="en-US"/>
        </w:rPr>
        <w:t>logframe</w:t>
      </w:r>
      <w:proofErr w:type="spellEnd"/>
      <w:r w:rsidRPr="003311F2">
        <w:rPr>
          <w:rFonts w:ascii="Times New Roman" w:hAnsi="Times New Roman"/>
          <w:i/>
          <w:sz w:val="24"/>
          <w:szCs w:val="24"/>
          <w:lang w:val="en-US"/>
        </w:rPr>
        <w:t xml:space="preserve">, which includes all the key data management project (goals, objectives, </w:t>
      </w:r>
      <w:proofErr w:type="gramStart"/>
      <w:r w:rsidRPr="003311F2">
        <w:rPr>
          <w:rFonts w:ascii="Times New Roman" w:hAnsi="Times New Roman"/>
          <w:i/>
          <w:sz w:val="24"/>
          <w:szCs w:val="24"/>
          <w:lang w:val="en-US"/>
        </w:rPr>
        <w:t>actions ,</w:t>
      </w:r>
      <w:proofErr w:type="gramEnd"/>
      <w:r w:rsidRPr="003311F2">
        <w:rPr>
          <w:rFonts w:ascii="Times New Roman" w:hAnsi="Times New Roman"/>
          <w:i/>
          <w:sz w:val="24"/>
          <w:szCs w:val="24"/>
          <w:lang w:val="en-US"/>
        </w:rPr>
        <w:t xml:space="preserve"> assumptions , indicators, sources of verification , resources and money ) . Application of the logical framework approach allows not only to define constraint</w:t>
      </w:r>
      <w:r>
        <w:rPr>
          <w:rFonts w:ascii="Times New Roman" w:hAnsi="Times New Roman"/>
          <w:i/>
          <w:sz w:val="24"/>
          <w:szCs w:val="24"/>
          <w:lang w:val="en-US"/>
        </w:rPr>
        <w:t xml:space="preserve">s in the development of </w:t>
      </w:r>
      <w:proofErr w:type="gramStart"/>
      <w:r>
        <w:rPr>
          <w:rFonts w:ascii="Times New Roman" w:hAnsi="Times New Roman"/>
          <w:i/>
          <w:sz w:val="24"/>
          <w:szCs w:val="24"/>
          <w:lang w:val="en-US"/>
        </w:rPr>
        <w:t>mobility</w:t>
      </w:r>
      <w:r w:rsidRPr="003311F2">
        <w:rPr>
          <w:rFonts w:ascii="Times New Roman" w:hAnsi="Times New Roman"/>
          <w:i/>
          <w:sz w:val="24"/>
          <w:szCs w:val="24"/>
          <w:lang w:val="en-US"/>
        </w:rPr>
        <w:t xml:space="preserve"> ,</w:t>
      </w:r>
      <w:proofErr w:type="gramEnd"/>
      <w:r w:rsidRPr="003311F2">
        <w:rPr>
          <w:rFonts w:ascii="Times New Roman" w:hAnsi="Times New Roman"/>
          <w:i/>
          <w:sz w:val="24"/>
          <w:szCs w:val="24"/>
          <w:lang w:val="en-US"/>
        </w:rPr>
        <w:t xml:space="preserve"> but also increase the level of mutual awareness of key </w:t>
      </w:r>
      <w:r>
        <w:rPr>
          <w:rFonts w:ascii="Times New Roman" w:hAnsi="Times New Roman"/>
          <w:i/>
          <w:sz w:val="24"/>
          <w:szCs w:val="24"/>
          <w:lang w:val="en-US"/>
        </w:rPr>
        <w:t xml:space="preserve"> </w:t>
      </w:r>
      <w:r w:rsidRPr="003311F2">
        <w:rPr>
          <w:rFonts w:ascii="Times New Roman" w:hAnsi="Times New Roman"/>
          <w:i/>
          <w:sz w:val="24"/>
          <w:szCs w:val="24"/>
          <w:lang w:val="en-US"/>
        </w:rPr>
        <w:t xml:space="preserve">public policy </w:t>
      </w:r>
      <w:r w:rsidRPr="003311F2">
        <w:rPr>
          <w:rFonts w:ascii="Times New Roman" w:hAnsi="Times New Roman"/>
          <w:i/>
          <w:sz w:val="24"/>
          <w:szCs w:val="24"/>
          <w:lang w:val="en-US"/>
        </w:rPr>
        <w:t>stakeholders.</w:t>
      </w:r>
    </w:p>
    <w:p w:rsidR="003311F2" w:rsidRPr="003311F2" w:rsidRDefault="003311F2" w:rsidP="0032385E">
      <w:pPr>
        <w:pStyle w:val="a4"/>
        <w:ind w:firstLine="708"/>
        <w:jc w:val="both"/>
        <w:rPr>
          <w:rFonts w:ascii="Times New Roman" w:hAnsi="Times New Roman"/>
          <w:i/>
          <w:lang w:val="en-US"/>
        </w:rPr>
      </w:pPr>
    </w:p>
    <w:p w:rsidR="0032385E" w:rsidRPr="00C97D7B" w:rsidRDefault="0032385E" w:rsidP="0032385E">
      <w:pPr>
        <w:ind w:firstLine="708"/>
        <w:jc w:val="both"/>
        <w:rPr>
          <w:rFonts w:ascii="Times New Roman" w:hAnsi="Times New Roman" w:cs="Times New Roman"/>
          <w:lang w:val="ru-RU"/>
        </w:rPr>
      </w:pPr>
      <w:r w:rsidRPr="00C97D7B">
        <w:rPr>
          <w:rFonts w:ascii="Times New Roman" w:hAnsi="Times New Roman" w:cs="Times New Roman"/>
          <w:lang w:val="ru-RU"/>
        </w:rPr>
        <w:t>Логико-структурный подход представляет собой методологию планирования пр</w:t>
      </w:r>
      <w:bookmarkStart w:id="0" w:name="_GoBack"/>
      <w:bookmarkEnd w:id="0"/>
      <w:r w:rsidRPr="00C97D7B">
        <w:rPr>
          <w:rFonts w:ascii="Times New Roman" w:hAnsi="Times New Roman" w:cs="Times New Roman"/>
          <w:lang w:val="ru-RU"/>
        </w:rPr>
        <w:t xml:space="preserve">оектной деятельности. Фактически она является стандартом планирования проектов, направленных на развитие сектора, региона, отрасли. Методология описывает процесс, который позволят спланировать деятельность с гарантированным результатом даже в ситуациях, когда исходные условия обладают высокой степенью неопределенности. Данный подход основан на  принципе </w:t>
      </w:r>
      <w:proofErr w:type="spellStart"/>
      <w:r w:rsidRPr="00C97D7B">
        <w:rPr>
          <w:rFonts w:ascii="Times New Roman" w:hAnsi="Times New Roman" w:cs="Times New Roman"/>
          <w:lang w:val="ru-RU"/>
        </w:rPr>
        <w:t>мультисубъектности</w:t>
      </w:r>
      <w:proofErr w:type="spellEnd"/>
      <w:r w:rsidRPr="00C97D7B">
        <w:rPr>
          <w:rFonts w:ascii="Times New Roman" w:hAnsi="Times New Roman" w:cs="Times New Roman"/>
          <w:lang w:val="ru-RU"/>
        </w:rPr>
        <w:t xml:space="preserve"> и противопоставления интересов разных субъектов относительно цели вмешательства. </w:t>
      </w:r>
    </w:p>
    <w:p w:rsidR="0032385E" w:rsidRPr="00C97D7B" w:rsidRDefault="0032385E" w:rsidP="0032385E">
      <w:pPr>
        <w:ind w:firstLine="708"/>
        <w:jc w:val="both"/>
        <w:rPr>
          <w:rFonts w:ascii="Times New Roman" w:hAnsi="Times New Roman" w:cs="Times New Roman"/>
          <w:lang w:val="ru-RU"/>
        </w:rPr>
      </w:pPr>
      <w:proofErr w:type="spellStart"/>
      <w:r w:rsidRPr="00C97D7B">
        <w:rPr>
          <w:rFonts w:ascii="Times New Roman" w:hAnsi="Times New Roman" w:cs="Times New Roman"/>
          <w:lang w:val="ru-RU"/>
        </w:rPr>
        <w:t>Фасилитационными</w:t>
      </w:r>
      <w:proofErr w:type="spellEnd"/>
      <w:r w:rsidRPr="00C97D7B">
        <w:rPr>
          <w:rFonts w:ascii="Times New Roman" w:hAnsi="Times New Roman" w:cs="Times New Roman"/>
          <w:lang w:val="ru-RU"/>
        </w:rPr>
        <w:t xml:space="preserve"> методами группа субъектов, вовлеченных в процесс планирования, согласовывает логическую модель проблемного поля проекта, на основе которой в дальнейшем строится стратегия и логическая основа любого проекта. Методология также предлагает универсальный формат проектного документа в виде логико-структурной схемы, включающей в себя все ключевые управленческие данные проекта (цели, задачи, действия, допущения, индикаторы, источники проверки, ресурсы и средства). </w:t>
      </w:r>
    </w:p>
    <w:p w:rsidR="0032385E" w:rsidRPr="00C97D7B" w:rsidRDefault="0032385E" w:rsidP="0032385E">
      <w:pPr>
        <w:ind w:firstLine="708"/>
        <w:jc w:val="both"/>
        <w:rPr>
          <w:rFonts w:ascii="Times New Roman" w:hAnsi="Times New Roman" w:cs="Times New Roman"/>
          <w:lang w:val="ru-RU"/>
        </w:rPr>
      </w:pPr>
      <w:r w:rsidRPr="00C97D7B">
        <w:rPr>
          <w:rFonts w:ascii="Times New Roman" w:hAnsi="Times New Roman" w:cs="Times New Roman"/>
          <w:lang w:val="ru-RU"/>
        </w:rPr>
        <w:t xml:space="preserve">Рассмотрим особенности применения логико-структурного подхода для решения проблем городской мобильности на примере города Новополоцка, в котором реализуется ряд проектов, направленных на подготовку Концепции  устойчивой мобильности и Плана мобильности. </w:t>
      </w:r>
    </w:p>
    <w:p w:rsidR="0032385E" w:rsidRPr="00C97D7B" w:rsidRDefault="0032385E" w:rsidP="0032385E">
      <w:pPr>
        <w:ind w:firstLine="708"/>
        <w:jc w:val="both"/>
        <w:rPr>
          <w:rFonts w:ascii="Times New Roman" w:hAnsi="Times New Roman" w:cs="Times New Roman"/>
          <w:lang w:val="ru-RU"/>
        </w:rPr>
      </w:pPr>
      <w:r w:rsidRPr="00C97D7B">
        <w:rPr>
          <w:rFonts w:ascii="Times New Roman" w:hAnsi="Times New Roman" w:cs="Times New Roman"/>
          <w:lang w:val="ru-RU"/>
        </w:rPr>
        <w:t>На первом этапе использования логико-структурного подхода проведен анализ субъектов, заинтересованных в развитии системы мобильности, или имеющих к ней отношение. В результате  были выделены следующие организации и структуры:</w:t>
      </w:r>
    </w:p>
    <w:p w:rsidR="0032385E" w:rsidRPr="00C97D7B" w:rsidRDefault="0032385E" w:rsidP="0032385E">
      <w:pPr>
        <w:pStyle w:val="-11"/>
        <w:numPr>
          <w:ilvl w:val="0"/>
          <w:numId w:val="2"/>
        </w:numPr>
        <w:ind w:left="0" w:firstLine="567"/>
        <w:jc w:val="both"/>
        <w:rPr>
          <w:rFonts w:ascii="Times New Roman" w:hAnsi="Times New Roman"/>
          <w:lang w:val="ru-RU"/>
        </w:rPr>
      </w:pPr>
      <w:r w:rsidRPr="00C97D7B">
        <w:rPr>
          <w:rFonts w:ascii="Times New Roman" w:hAnsi="Times New Roman"/>
          <w:lang w:val="ru-RU"/>
        </w:rPr>
        <w:t xml:space="preserve"> прежде всего – население города Новополоцка, как консолидированный субъект правоотношений;</w:t>
      </w:r>
    </w:p>
    <w:p w:rsidR="0032385E" w:rsidRPr="00C97D7B" w:rsidRDefault="0032385E" w:rsidP="0032385E">
      <w:pPr>
        <w:pStyle w:val="-11"/>
        <w:numPr>
          <w:ilvl w:val="0"/>
          <w:numId w:val="2"/>
        </w:numPr>
        <w:ind w:left="0" w:firstLine="567"/>
        <w:jc w:val="both"/>
        <w:rPr>
          <w:rFonts w:ascii="Times New Roman" w:hAnsi="Times New Roman"/>
          <w:lang w:val="ru-RU"/>
        </w:rPr>
      </w:pPr>
      <w:r w:rsidRPr="00C97D7B">
        <w:rPr>
          <w:rFonts w:ascii="Times New Roman" w:hAnsi="Times New Roman"/>
          <w:lang w:val="ru-RU"/>
        </w:rPr>
        <w:t xml:space="preserve"> субъекты, принимающие решения на местном уровне (губернатор, мэр города и органы местной власти);</w:t>
      </w:r>
    </w:p>
    <w:p w:rsidR="0032385E" w:rsidRPr="00C97D7B" w:rsidRDefault="0032385E" w:rsidP="0032385E">
      <w:pPr>
        <w:pStyle w:val="-11"/>
        <w:numPr>
          <w:ilvl w:val="0"/>
          <w:numId w:val="2"/>
        </w:numPr>
        <w:ind w:left="0" w:firstLine="567"/>
        <w:jc w:val="both"/>
        <w:rPr>
          <w:rFonts w:ascii="Times New Roman" w:hAnsi="Times New Roman"/>
          <w:lang w:val="ru-RU"/>
        </w:rPr>
      </w:pPr>
      <w:r w:rsidRPr="00C97D7B">
        <w:rPr>
          <w:rFonts w:ascii="Times New Roman" w:hAnsi="Times New Roman"/>
          <w:lang w:val="ru-RU"/>
        </w:rPr>
        <w:t>субъекты государственной политики (Министерство транспорта и коммуникаций Республики Беларусь, в том числе транспортная инспекция и инспекция природных ресурсов);</w:t>
      </w:r>
    </w:p>
    <w:p w:rsidR="0032385E" w:rsidRPr="00C97D7B" w:rsidRDefault="0032385E" w:rsidP="0032385E">
      <w:pPr>
        <w:pStyle w:val="-11"/>
        <w:numPr>
          <w:ilvl w:val="0"/>
          <w:numId w:val="2"/>
        </w:numPr>
        <w:ind w:left="0" w:firstLine="567"/>
        <w:jc w:val="both"/>
        <w:rPr>
          <w:rFonts w:ascii="Times New Roman" w:hAnsi="Times New Roman"/>
          <w:lang w:val="ru-RU"/>
        </w:rPr>
      </w:pPr>
      <w:r w:rsidRPr="00C97D7B">
        <w:rPr>
          <w:rFonts w:ascii="Times New Roman" w:hAnsi="Times New Roman"/>
          <w:lang w:val="ru-RU"/>
        </w:rPr>
        <w:t>субъекты текущей и перспективной региональной транспортной политики;</w:t>
      </w:r>
    </w:p>
    <w:p w:rsidR="0032385E" w:rsidRPr="00C97D7B" w:rsidRDefault="0032385E" w:rsidP="0032385E">
      <w:pPr>
        <w:pStyle w:val="-11"/>
        <w:numPr>
          <w:ilvl w:val="0"/>
          <w:numId w:val="2"/>
        </w:numPr>
        <w:ind w:left="0" w:firstLine="567"/>
        <w:jc w:val="both"/>
        <w:rPr>
          <w:rFonts w:ascii="Times New Roman" w:hAnsi="Times New Roman"/>
          <w:lang w:val="ru-RU"/>
        </w:rPr>
      </w:pPr>
      <w:r w:rsidRPr="00C97D7B">
        <w:rPr>
          <w:rFonts w:ascii="Times New Roman" w:hAnsi="Times New Roman"/>
          <w:lang w:val="ru-RU"/>
        </w:rPr>
        <w:t>субъекты обслуживания инфраструктуры мобильности (ГАИ, дорожные службы, службы ЖКХ и др.);</w:t>
      </w:r>
    </w:p>
    <w:p w:rsidR="0032385E" w:rsidRPr="00C97D7B" w:rsidRDefault="0032385E" w:rsidP="0032385E">
      <w:pPr>
        <w:pStyle w:val="-11"/>
        <w:numPr>
          <w:ilvl w:val="0"/>
          <w:numId w:val="2"/>
        </w:numPr>
        <w:ind w:left="0" w:firstLine="567"/>
        <w:jc w:val="both"/>
        <w:rPr>
          <w:rFonts w:ascii="Times New Roman" w:hAnsi="Times New Roman"/>
          <w:lang w:val="ru-RU"/>
        </w:rPr>
      </w:pPr>
      <w:r w:rsidRPr="00C97D7B">
        <w:rPr>
          <w:rFonts w:ascii="Times New Roman" w:hAnsi="Times New Roman"/>
          <w:lang w:val="ru-RU"/>
        </w:rPr>
        <w:lastRenderedPageBreak/>
        <w:t>перевозчики и иные субъекты, предоставляющие услуги в сфере общественного транспорта;</w:t>
      </w:r>
    </w:p>
    <w:p w:rsidR="0032385E" w:rsidRPr="00C97D7B" w:rsidRDefault="0032385E" w:rsidP="0032385E">
      <w:pPr>
        <w:pStyle w:val="-11"/>
        <w:numPr>
          <w:ilvl w:val="0"/>
          <w:numId w:val="2"/>
        </w:numPr>
        <w:ind w:left="0" w:firstLine="567"/>
        <w:jc w:val="both"/>
        <w:rPr>
          <w:rFonts w:ascii="Times New Roman" w:hAnsi="Times New Roman"/>
          <w:lang w:val="ru-RU"/>
        </w:rPr>
      </w:pPr>
      <w:r w:rsidRPr="00C97D7B">
        <w:rPr>
          <w:rFonts w:ascii="Times New Roman" w:hAnsi="Times New Roman"/>
          <w:lang w:val="ru-RU"/>
        </w:rPr>
        <w:t>субъекты, представляющие собой “магниты мобильности” (организации или объекты, притягивающие население): предприятия как средства приложения труда, организации культуры и отдыха, торговые центры и т.п.;</w:t>
      </w:r>
    </w:p>
    <w:p w:rsidR="0032385E" w:rsidRPr="00C97D7B" w:rsidRDefault="0032385E" w:rsidP="0032385E">
      <w:pPr>
        <w:pStyle w:val="-11"/>
        <w:numPr>
          <w:ilvl w:val="0"/>
          <w:numId w:val="2"/>
        </w:numPr>
        <w:ind w:left="0" w:firstLine="567"/>
        <w:jc w:val="both"/>
        <w:rPr>
          <w:rFonts w:ascii="Times New Roman" w:hAnsi="Times New Roman"/>
          <w:lang w:val="ru-RU"/>
        </w:rPr>
      </w:pPr>
      <w:r w:rsidRPr="00C97D7B">
        <w:rPr>
          <w:rFonts w:ascii="Times New Roman" w:hAnsi="Times New Roman"/>
          <w:lang w:val="ru-RU"/>
        </w:rPr>
        <w:t>субъекты, которые могут быть или являются источниками средств и ресурсов для развития мобильности (налогоплательщики и инвесторы).</w:t>
      </w:r>
    </w:p>
    <w:p w:rsidR="0032385E" w:rsidRPr="00C97D7B" w:rsidRDefault="0032385E" w:rsidP="0032385E">
      <w:pPr>
        <w:ind w:firstLine="567"/>
        <w:jc w:val="both"/>
        <w:rPr>
          <w:rFonts w:ascii="Times New Roman" w:hAnsi="Times New Roman" w:cs="Times New Roman"/>
          <w:lang w:val="ru-RU"/>
        </w:rPr>
      </w:pPr>
      <w:r w:rsidRPr="00C97D7B">
        <w:rPr>
          <w:rFonts w:ascii="Times New Roman" w:hAnsi="Times New Roman" w:cs="Times New Roman"/>
          <w:lang w:val="ru-RU"/>
        </w:rPr>
        <w:t>На втором этапе - рассмотрены как идеи, воплощение которых в жизнь может позволить существенно развить систему мобильности в городе, так и вызовы, которые должны быть приняты во внимание как важные факторы ограничения развития системы мобильности. Следует оговориться, что формально, с точки зрения методологии, на данном этапе проводится анализ проблем как факторов ограничения развития системы. Однако</w:t>
      </w:r>
      <w:proofErr w:type="gramStart"/>
      <w:r w:rsidR="00A121B8" w:rsidRPr="00C97D7B">
        <w:rPr>
          <w:rFonts w:ascii="Times New Roman" w:hAnsi="Times New Roman" w:cs="Times New Roman"/>
          <w:lang w:val="ru-RU"/>
        </w:rPr>
        <w:t>,</w:t>
      </w:r>
      <w:proofErr w:type="gramEnd"/>
      <w:r w:rsidRPr="00C97D7B">
        <w:rPr>
          <w:rFonts w:ascii="Times New Roman" w:hAnsi="Times New Roman" w:cs="Times New Roman"/>
          <w:lang w:val="ru-RU"/>
        </w:rPr>
        <w:t xml:space="preserve"> при первом опыте работы группы по данной методологии проблематизирующий подход может вызывать настороженность, поэтому при анализе использовались более мягкие  формулировки, которые уже потом обсуждались в экспертной группе.  Анализ и обсуждение данных факторов </w:t>
      </w:r>
      <w:proofErr w:type="gramStart"/>
      <w:r w:rsidR="001667A8" w:rsidRPr="00C97D7B">
        <w:rPr>
          <w:rFonts w:ascii="Times New Roman" w:hAnsi="Times New Roman" w:cs="Times New Roman"/>
          <w:lang w:val="ru-RU"/>
        </w:rPr>
        <w:t>произведен</w:t>
      </w:r>
      <w:r w:rsidR="001667A8">
        <w:rPr>
          <w:rFonts w:ascii="Times New Roman" w:hAnsi="Times New Roman" w:cs="Times New Roman"/>
          <w:lang w:val="ru-RU"/>
        </w:rPr>
        <w:t>ы</w:t>
      </w:r>
      <w:proofErr w:type="gramEnd"/>
      <w:r w:rsidR="001667A8" w:rsidRPr="00C97D7B">
        <w:rPr>
          <w:rFonts w:ascii="Times New Roman" w:hAnsi="Times New Roman" w:cs="Times New Roman"/>
          <w:lang w:val="ru-RU"/>
        </w:rPr>
        <w:t xml:space="preserve"> </w:t>
      </w:r>
      <w:r w:rsidRPr="00C97D7B">
        <w:rPr>
          <w:rFonts w:ascii="Times New Roman" w:hAnsi="Times New Roman" w:cs="Times New Roman"/>
          <w:lang w:val="ru-RU"/>
        </w:rPr>
        <w:t>методом анализа причинно-следственных связей между ними</w:t>
      </w:r>
      <w:r w:rsidR="00A121B8" w:rsidRPr="00C97D7B">
        <w:rPr>
          <w:rFonts w:ascii="Times New Roman" w:hAnsi="Times New Roman" w:cs="Times New Roman"/>
          <w:lang w:val="ru-RU"/>
        </w:rPr>
        <w:t>.</w:t>
      </w:r>
      <w:r w:rsidRPr="00C97D7B">
        <w:rPr>
          <w:rFonts w:ascii="Times New Roman" w:hAnsi="Times New Roman" w:cs="Times New Roman"/>
          <w:lang w:val="ru-RU"/>
        </w:rPr>
        <w:t xml:space="preserve"> </w:t>
      </w:r>
      <w:r w:rsidR="00A121B8" w:rsidRPr="00C97D7B">
        <w:rPr>
          <w:rFonts w:ascii="Times New Roman" w:hAnsi="Times New Roman" w:cs="Times New Roman"/>
          <w:lang w:val="ru-RU"/>
        </w:rPr>
        <w:t xml:space="preserve">К </w:t>
      </w:r>
      <w:r w:rsidRPr="00C97D7B">
        <w:rPr>
          <w:rFonts w:ascii="Times New Roman" w:hAnsi="Times New Roman" w:cs="Times New Roman"/>
          <w:lang w:val="ru-RU"/>
        </w:rPr>
        <w:t xml:space="preserve"> ним следует отнести:</w:t>
      </w:r>
    </w:p>
    <w:p w:rsidR="0032385E" w:rsidRPr="00C97D7B" w:rsidRDefault="0032385E" w:rsidP="0032385E">
      <w:pPr>
        <w:numPr>
          <w:ilvl w:val="0"/>
          <w:numId w:val="3"/>
        </w:numPr>
        <w:tabs>
          <w:tab w:val="left" w:pos="851"/>
        </w:tabs>
        <w:ind w:left="0" w:firstLine="567"/>
        <w:jc w:val="both"/>
        <w:rPr>
          <w:rFonts w:ascii="Times New Roman" w:hAnsi="Times New Roman" w:cs="Times New Roman"/>
          <w:lang w:val="ru-RU"/>
        </w:rPr>
      </w:pPr>
      <w:r w:rsidRPr="00C97D7B">
        <w:rPr>
          <w:rFonts w:ascii="Times New Roman" w:hAnsi="Times New Roman" w:cs="Times New Roman"/>
          <w:lang w:val="ru-RU"/>
        </w:rPr>
        <w:t>Размещение большого числа мест приложения труда в промышленной зоне, размещенной на расстоянии около 5 км от ближайшей границы селитебной территории города, что связано с размещением в ней предприятий химического профиля, требующих наличия санитарно-защитной зоны. В результате требуется ежедневное перемещение людей от жилых зон к основным местам работы и обратно.</w:t>
      </w:r>
    </w:p>
    <w:p w:rsidR="0032385E" w:rsidRPr="00C97D7B" w:rsidRDefault="0032385E" w:rsidP="0032385E">
      <w:pPr>
        <w:numPr>
          <w:ilvl w:val="0"/>
          <w:numId w:val="3"/>
        </w:numPr>
        <w:tabs>
          <w:tab w:val="left" w:pos="851"/>
        </w:tabs>
        <w:ind w:left="0" w:firstLine="567"/>
        <w:jc w:val="both"/>
        <w:rPr>
          <w:rFonts w:ascii="Times New Roman" w:hAnsi="Times New Roman" w:cs="Times New Roman"/>
          <w:lang w:val="ru-RU"/>
        </w:rPr>
      </w:pPr>
      <w:r w:rsidRPr="00C97D7B">
        <w:rPr>
          <w:rFonts w:ascii="Times New Roman" w:hAnsi="Times New Roman" w:cs="Times New Roman"/>
          <w:lang w:val="ru-RU"/>
        </w:rPr>
        <w:t>«Линейная» структура основной территории города вдоль реки Западная Двина на ее левом берегу, что приводит к необходимости довольно длинных перемещений между крупными городскими объектами (например, к рекреационным зонам), при этом доля пеших и велосипедных перемещений небольшая. Линейные перемещения вдоль «длинной» оси городской территории в основном  выполняются по улице Молодежной, в результате основные узловые пункты на ней в часы пик работают на пределе пропускной способности.</w:t>
      </w:r>
    </w:p>
    <w:p w:rsidR="0032385E" w:rsidRPr="00C97D7B" w:rsidRDefault="0032385E" w:rsidP="0032385E">
      <w:pPr>
        <w:numPr>
          <w:ilvl w:val="0"/>
          <w:numId w:val="3"/>
        </w:numPr>
        <w:tabs>
          <w:tab w:val="left" w:pos="851"/>
        </w:tabs>
        <w:ind w:left="0" w:firstLine="567"/>
        <w:jc w:val="both"/>
        <w:rPr>
          <w:rFonts w:ascii="Times New Roman" w:hAnsi="Times New Roman" w:cs="Times New Roman"/>
          <w:lang w:val="ru-RU"/>
        </w:rPr>
      </w:pPr>
      <w:r w:rsidRPr="00C97D7B">
        <w:rPr>
          <w:rFonts w:ascii="Times New Roman" w:hAnsi="Times New Roman" w:cs="Times New Roman"/>
          <w:lang w:val="ru-RU"/>
        </w:rPr>
        <w:t>Наличие существенных производственных и культурных связей между г. Новополоцком и близко расположенным г. Полоцком, что приводит к значительному объему перемещений между этими городами.</w:t>
      </w:r>
    </w:p>
    <w:p w:rsidR="0032385E" w:rsidRPr="00C97D7B" w:rsidRDefault="0032385E" w:rsidP="0032385E">
      <w:pPr>
        <w:ind w:firstLine="567"/>
        <w:jc w:val="both"/>
        <w:rPr>
          <w:rFonts w:ascii="Times New Roman" w:hAnsi="Times New Roman" w:cs="Times New Roman"/>
          <w:lang w:val="ru-RU"/>
        </w:rPr>
      </w:pPr>
      <w:r w:rsidRPr="00C97D7B">
        <w:rPr>
          <w:rFonts w:ascii="Times New Roman" w:hAnsi="Times New Roman" w:cs="Times New Roman"/>
          <w:lang w:val="ru-RU"/>
        </w:rPr>
        <w:t xml:space="preserve">Следует дополнительно отметить, что описанные выше факторы, стимулирующие нерациональное поведение субъектов мобильности, оказывают влияние не только на  предпочтения и уровень жизни населения, но и на эффективность вложений в управление и функционирование инфраструктуры мобильности (остановочные пункты, велодорожки, стоянки, парковки и др.). </w:t>
      </w:r>
    </w:p>
    <w:p w:rsidR="0032385E" w:rsidRPr="00C97D7B" w:rsidRDefault="0032385E" w:rsidP="0032385E">
      <w:pPr>
        <w:ind w:firstLine="567"/>
        <w:jc w:val="both"/>
        <w:rPr>
          <w:rFonts w:ascii="Times New Roman" w:hAnsi="Times New Roman" w:cs="Times New Roman"/>
          <w:lang w:val="ru-RU"/>
        </w:rPr>
      </w:pPr>
      <w:r w:rsidRPr="00C97D7B">
        <w:rPr>
          <w:rFonts w:ascii="Times New Roman" w:hAnsi="Times New Roman" w:cs="Times New Roman"/>
          <w:lang w:val="ru-RU"/>
        </w:rPr>
        <w:t xml:space="preserve">Данные затраты являются как прямыми, так и косвенными, а общепринятой методики их подсчета на сегодняшний день не существует. Безусловно, очевидным фактором, непосредственно влияющим на предпочтения населения по организации передвижения, является степень удовлетворенности населения качеством инфраструктуры мобильности. Причем население под данным аспектом понимает, прежде всего, вопросы качества и уровня развития общественного транспорта, что связано с вопросами финансирования транспортной инфраструктуры. </w:t>
      </w:r>
    </w:p>
    <w:p w:rsidR="0032385E" w:rsidRPr="00C97D7B" w:rsidRDefault="0032385E" w:rsidP="0032385E">
      <w:pPr>
        <w:ind w:firstLine="567"/>
        <w:jc w:val="both"/>
        <w:rPr>
          <w:rFonts w:ascii="Times New Roman" w:hAnsi="Times New Roman" w:cs="Times New Roman"/>
          <w:lang w:val="ru-RU"/>
        </w:rPr>
      </w:pPr>
      <w:r w:rsidRPr="00C97D7B">
        <w:rPr>
          <w:rFonts w:ascii="Times New Roman" w:hAnsi="Times New Roman" w:cs="Times New Roman"/>
          <w:lang w:val="ru-RU"/>
        </w:rPr>
        <w:t xml:space="preserve">Более детальное рассмотрение всей совокупности факторов выявило ряд дополнительных аспектов, которые чаще всего остаются в стороне, поскольку </w:t>
      </w:r>
      <w:r w:rsidRPr="00C97D7B">
        <w:rPr>
          <w:rFonts w:ascii="Times New Roman" w:hAnsi="Times New Roman" w:cs="Times New Roman"/>
          <w:lang w:val="ru-RU"/>
        </w:rPr>
        <w:lastRenderedPageBreak/>
        <w:t xml:space="preserve">вопрос финансовых инвестиций в инфраструктуру мобильности является ключевым (например, вопросы финансирования проекта скоростного трамвая в г. Новополоцке, развитие инфраструктуры велосипедных дорожек). </w:t>
      </w:r>
    </w:p>
    <w:p w:rsidR="0032385E" w:rsidRPr="00C97D7B" w:rsidRDefault="0032385E" w:rsidP="0032385E">
      <w:pPr>
        <w:ind w:firstLine="567"/>
        <w:jc w:val="both"/>
        <w:rPr>
          <w:rFonts w:ascii="Times New Roman" w:hAnsi="Times New Roman" w:cs="Times New Roman"/>
          <w:lang w:val="ru-RU"/>
        </w:rPr>
      </w:pPr>
      <w:r w:rsidRPr="00C97D7B">
        <w:rPr>
          <w:rFonts w:ascii="Times New Roman" w:hAnsi="Times New Roman" w:cs="Times New Roman"/>
          <w:lang w:val="ru-RU"/>
        </w:rPr>
        <w:t>Тем не менее, даже в условиях ограниченного финансирования</w:t>
      </w:r>
      <w:r w:rsidR="001667A8">
        <w:rPr>
          <w:rFonts w:ascii="Times New Roman" w:hAnsi="Times New Roman" w:cs="Times New Roman"/>
          <w:lang w:val="ru-RU"/>
        </w:rPr>
        <w:t>,</w:t>
      </w:r>
      <w:r w:rsidRPr="00C97D7B">
        <w:rPr>
          <w:rFonts w:ascii="Times New Roman" w:hAnsi="Times New Roman" w:cs="Times New Roman"/>
          <w:lang w:val="ru-RU"/>
        </w:rPr>
        <w:t xml:space="preserve">  системная работа по изучению лучших зарубежных практик в сфере мобильности </w:t>
      </w:r>
      <w:r w:rsidR="00A121B8" w:rsidRPr="00C97D7B">
        <w:rPr>
          <w:rFonts w:ascii="Times New Roman" w:hAnsi="Times New Roman" w:cs="Times New Roman"/>
          <w:lang w:val="ru-RU"/>
        </w:rPr>
        <w:t xml:space="preserve">позволяет </w:t>
      </w:r>
      <w:r w:rsidRPr="00C97D7B">
        <w:rPr>
          <w:rFonts w:ascii="Times New Roman" w:hAnsi="Times New Roman" w:cs="Times New Roman"/>
          <w:lang w:val="ru-RU"/>
        </w:rPr>
        <w:t xml:space="preserve">более рационально использовать имеющиеся ресурсы, а ряд проблем превратить в возможности. Кроме того, многие вопросы могут решаться без серьезных финансовых затрат при условии, что они будут учтены на этапе планирования и проектирования городской инфраструктуры.  </w:t>
      </w:r>
    </w:p>
    <w:p w:rsidR="0032385E" w:rsidRPr="00C97D7B" w:rsidRDefault="0032385E" w:rsidP="0032385E">
      <w:pPr>
        <w:ind w:firstLine="567"/>
        <w:jc w:val="both"/>
        <w:rPr>
          <w:rFonts w:ascii="Times New Roman" w:hAnsi="Times New Roman" w:cs="Times New Roman"/>
          <w:lang w:val="ru-RU"/>
        </w:rPr>
      </w:pPr>
      <w:r w:rsidRPr="00C97D7B">
        <w:rPr>
          <w:rFonts w:ascii="Times New Roman" w:hAnsi="Times New Roman" w:cs="Times New Roman"/>
          <w:lang w:val="ru-RU"/>
        </w:rPr>
        <w:t xml:space="preserve">Применение методологии логико-структурного подхода </w:t>
      </w:r>
      <w:r w:rsidR="00A121B8" w:rsidRPr="00C97D7B">
        <w:rPr>
          <w:rFonts w:ascii="Times New Roman" w:hAnsi="Times New Roman" w:cs="Times New Roman"/>
          <w:lang w:val="ru-RU"/>
        </w:rPr>
        <w:t>дало возможность</w:t>
      </w:r>
      <w:r w:rsidRPr="00C97D7B">
        <w:rPr>
          <w:rFonts w:ascii="Times New Roman" w:hAnsi="Times New Roman" w:cs="Times New Roman"/>
          <w:lang w:val="ru-RU"/>
        </w:rPr>
        <w:t xml:space="preserve"> не только определить ограничения в развитии системы мобильности, но и повысить уровень взаимной осведомленности ключевых субъектов. Этот фактор во время подведения итогов участниками процесса </w:t>
      </w:r>
      <w:r w:rsidR="00212740" w:rsidRPr="00C97D7B">
        <w:rPr>
          <w:rFonts w:ascii="Times New Roman" w:hAnsi="Times New Roman" w:cs="Times New Roman"/>
          <w:lang w:val="ru-RU"/>
        </w:rPr>
        <w:t>является</w:t>
      </w:r>
      <w:r w:rsidRPr="00C97D7B">
        <w:rPr>
          <w:rFonts w:ascii="Times New Roman" w:hAnsi="Times New Roman" w:cs="Times New Roman"/>
          <w:lang w:val="ru-RU"/>
        </w:rPr>
        <w:t xml:space="preserve"> важны</w:t>
      </w:r>
      <w:r w:rsidR="00212740" w:rsidRPr="00C97D7B">
        <w:rPr>
          <w:rFonts w:ascii="Times New Roman" w:hAnsi="Times New Roman" w:cs="Times New Roman"/>
          <w:lang w:val="ru-RU"/>
        </w:rPr>
        <w:t>м</w:t>
      </w:r>
      <w:r w:rsidRPr="00C97D7B">
        <w:rPr>
          <w:rFonts w:ascii="Times New Roman" w:hAnsi="Times New Roman" w:cs="Times New Roman"/>
          <w:lang w:val="ru-RU"/>
        </w:rPr>
        <w:t xml:space="preserve"> дополнительны</w:t>
      </w:r>
      <w:r w:rsidR="00212740" w:rsidRPr="00C97D7B">
        <w:rPr>
          <w:rFonts w:ascii="Times New Roman" w:hAnsi="Times New Roman" w:cs="Times New Roman"/>
          <w:lang w:val="ru-RU"/>
        </w:rPr>
        <w:t>м</w:t>
      </w:r>
      <w:r w:rsidRPr="00C97D7B">
        <w:rPr>
          <w:rFonts w:ascii="Times New Roman" w:hAnsi="Times New Roman" w:cs="Times New Roman"/>
          <w:lang w:val="ru-RU"/>
        </w:rPr>
        <w:t xml:space="preserve"> эффект</w:t>
      </w:r>
      <w:r w:rsidR="00212740" w:rsidRPr="00C97D7B">
        <w:rPr>
          <w:rFonts w:ascii="Times New Roman" w:hAnsi="Times New Roman" w:cs="Times New Roman"/>
          <w:lang w:val="ru-RU"/>
        </w:rPr>
        <w:t>ом</w:t>
      </w:r>
      <w:r w:rsidRPr="00C97D7B">
        <w:rPr>
          <w:rFonts w:ascii="Times New Roman" w:hAnsi="Times New Roman" w:cs="Times New Roman"/>
          <w:lang w:val="ru-RU"/>
        </w:rPr>
        <w:t xml:space="preserve"> от проделанной работы. </w:t>
      </w:r>
    </w:p>
    <w:p w:rsidR="0032385E" w:rsidRPr="00C97D7B" w:rsidRDefault="0032385E" w:rsidP="0032385E">
      <w:pPr>
        <w:pStyle w:val="Normal1"/>
        <w:ind w:firstLine="720"/>
        <w:jc w:val="both"/>
        <w:rPr>
          <w:b/>
          <w:sz w:val="24"/>
          <w:szCs w:val="24"/>
        </w:rPr>
      </w:pPr>
    </w:p>
    <w:p w:rsidR="0032385E" w:rsidRPr="00C97D7B" w:rsidRDefault="0032385E" w:rsidP="0032385E">
      <w:pPr>
        <w:pStyle w:val="Normal1"/>
        <w:ind w:firstLine="720"/>
        <w:jc w:val="both"/>
        <w:rPr>
          <w:sz w:val="24"/>
          <w:szCs w:val="24"/>
        </w:rPr>
      </w:pPr>
      <w:r w:rsidRPr="00C97D7B">
        <w:rPr>
          <w:b/>
          <w:sz w:val="24"/>
          <w:szCs w:val="24"/>
        </w:rPr>
        <w:t>Список использованной литературы.</w:t>
      </w:r>
    </w:p>
    <w:p w:rsidR="0032385E" w:rsidRPr="00C97D7B" w:rsidRDefault="0032385E" w:rsidP="003311F2">
      <w:pPr>
        <w:pStyle w:val="a6"/>
        <w:numPr>
          <w:ilvl w:val="0"/>
          <w:numId w:val="1"/>
        </w:numPr>
        <w:tabs>
          <w:tab w:val="left" w:pos="0"/>
          <w:tab w:val="left" w:pos="851"/>
        </w:tabs>
        <w:autoSpaceDN w:val="0"/>
        <w:ind w:left="0" w:firstLine="567"/>
        <w:jc w:val="both"/>
        <w:rPr>
          <w:sz w:val="24"/>
          <w:szCs w:val="24"/>
        </w:rPr>
      </w:pPr>
      <w:proofErr w:type="spellStart"/>
      <w:r w:rsidRPr="00C97D7B">
        <w:rPr>
          <w:sz w:val="24"/>
          <w:szCs w:val="24"/>
        </w:rPr>
        <w:t>Готин</w:t>
      </w:r>
      <w:proofErr w:type="spellEnd"/>
      <w:r w:rsidRPr="00C97D7B">
        <w:rPr>
          <w:sz w:val="24"/>
          <w:szCs w:val="24"/>
        </w:rPr>
        <w:t>, С.</w:t>
      </w:r>
      <w:r w:rsidR="004649C3" w:rsidRPr="00C97D7B">
        <w:rPr>
          <w:sz w:val="24"/>
          <w:szCs w:val="24"/>
        </w:rPr>
        <w:t>В.</w:t>
      </w:r>
      <w:r w:rsidRPr="00C97D7B">
        <w:rPr>
          <w:sz w:val="24"/>
          <w:szCs w:val="24"/>
        </w:rPr>
        <w:t xml:space="preserve">  Логико-структурный подход и его применение для анализа и планирования деятельности/ </w:t>
      </w:r>
      <w:r w:rsidR="004649C3" w:rsidRPr="00C97D7B">
        <w:rPr>
          <w:sz w:val="24"/>
          <w:szCs w:val="24"/>
        </w:rPr>
        <w:t xml:space="preserve"> С.В.Готин, </w:t>
      </w:r>
      <w:proofErr w:type="spellStart"/>
      <w:r w:rsidR="004649C3" w:rsidRPr="00C97D7B">
        <w:rPr>
          <w:sz w:val="24"/>
          <w:szCs w:val="24"/>
        </w:rPr>
        <w:t>В.П.Калоша</w:t>
      </w:r>
      <w:proofErr w:type="spellEnd"/>
      <w:r w:rsidR="004649C3" w:rsidRPr="00C97D7B">
        <w:rPr>
          <w:sz w:val="24"/>
          <w:szCs w:val="24"/>
        </w:rPr>
        <w:t xml:space="preserve">. ‒ </w:t>
      </w:r>
      <w:r w:rsidRPr="00C97D7B">
        <w:rPr>
          <w:sz w:val="24"/>
          <w:szCs w:val="24"/>
        </w:rPr>
        <w:t>Москва</w:t>
      </w:r>
      <w:r w:rsidR="004649C3" w:rsidRPr="00C97D7B">
        <w:rPr>
          <w:sz w:val="24"/>
          <w:szCs w:val="24"/>
        </w:rPr>
        <w:t>: В</w:t>
      </w:r>
      <w:r w:rsidRPr="00C97D7B">
        <w:rPr>
          <w:sz w:val="24"/>
          <w:szCs w:val="24"/>
        </w:rPr>
        <w:t>ариан</w:t>
      </w:r>
      <w:r w:rsidR="004649C3" w:rsidRPr="00C97D7B">
        <w:rPr>
          <w:sz w:val="24"/>
          <w:szCs w:val="24"/>
        </w:rPr>
        <w:t>т,</w:t>
      </w:r>
      <w:r w:rsidRPr="00C97D7B">
        <w:rPr>
          <w:sz w:val="24"/>
          <w:szCs w:val="24"/>
        </w:rPr>
        <w:t xml:space="preserve"> 2007</w:t>
      </w:r>
      <w:r w:rsidR="004649C3" w:rsidRPr="00C97D7B">
        <w:rPr>
          <w:sz w:val="24"/>
          <w:szCs w:val="24"/>
        </w:rPr>
        <w:t>.</w:t>
      </w:r>
      <w:r w:rsidRPr="00C97D7B">
        <w:rPr>
          <w:sz w:val="24"/>
          <w:szCs w:val="24"/>
        </w:rPr>
        <w:t>‒120с.</w:t>
      </w:r>
    </w:p>
    <w:p w:rsidR="0032385E" w:rsidRPr="003311F2" w:rsidRDefault="0032385E" w:rsidP="003311F2">
      <w:pPr>
        <w:numPr>
          <w:ilvl w:val="0"/>
          <w:numId w:val="1"/>
        </w:numPr>
        <w:tabs>
          <w:tab w:val="left" w:pos="0"/>
          <w:tab w:val="num" w:pos="567"/>
          <w:tab w:val="left" w:pos="851"/>
          <w:tab w:val="left" w:pos="1134"/>
        </w:tabs>
        <w:ind w:left="0" w:firstLine="567"/>
        <w:jc w:val="both"/>
        <w:rPr>
          <w:rFonts w:ascii="Times New Roman" w:eastAsia="Times New Roman" w:hAnsi="Times New Roman" w:cs="Times New Roman"/>
        </w:rPr>
      </w:pPr>
      <w:r w:rsidRPr="00385A7A">
        <w:rPr>
          <w:rFonts w:ascii="Times New Roman" w:eastAsia="Times New Roman" w:hAnsi="Times New Roman" w:cs="Times New Roman"/>
          <w:bCs/>
          <w:color w:val="000000"/>
          <w:lang w:val="ru-RU"/>
        </w:rPr>
        <w:t xml:space="preserve">Королев А.В. </w:t>
      </w:r>
      <w:r w:rsidRPr="00385A7A">
        <w:rPr>
          <w:rFonts w:ascii="Times New Roman" w:eastAsia="Calibri" w:hAnsi="Times New Roman" w:cs="Times New Roman"/>
          <w:bCs/>
          <w:color w:val="000000"/>
          <w:lang w:val="ru-RU"/>
        </w:rPr>
        <w:t>Моделирование процессов управления городской мобильностью</w:t>
      </w:r>
      <w:r w:rsidRPr="00385A7A">
        <w:rPr>
          <w:rFonts w:ascii="Times New Roman" w:eastAsia="Times New Roman" w:hAnsi="Times New Roman" w:cs="Times New Roman"/>
          <w:bCs/>
          <w:color w:val="000000"/>
          <w:lang w:val="ru-RU"/>
        </w:rPr>
        <w:t xml:space="preserve">. </w:t>
      </w:r>
      <w:r w:rsidRPr="00385A7A">
        <w:rPr>
          <w:rFonts w:ascii="Times New Roman" w:eastAsia="Calibri" w:hAnsi="Times New Roman" w:cs="Times New Roman"/>
          <w:color w:val="000000"/>
          <w:lang w:val="ru-RU"/>
        </w:rPr>
        <w:t xml:space="preserve">Материалы 14-ой </w:t>
      </w:r>
      <w:proofErr w:type="spellStart"/>
      <w:r w:rsidRPr="00385A7A">
        <w:rPr>
          <w:rFonts w:ascii="Times New Roman" w:eastAsia="Calibri" w:hAnsi="Times New Roman" w:cs="Times New Roman"/>
          <w:color w:val="000000"/>
          <w:lang w:val="ru-RU"/>
        </w:rPr>
        <w:t>Международ</w:t>
      </w:r>
      <w:proofErr w:type="spellEnd"/>
      <w:r w:rsidR="004649C3" w:rsidRPr="00385A7A">
        <w:rPr>
          <w:rFonts w:ascii="Times New Roman" w:eastAsia="Calibri" w:hAnsi="Times New Roman" w:cs="Times New Roman"/>
          <w:color w:val="000000"/>
          <w:lang w:val="ru-RU"/>
        </w:rPr>
        <w:t xml:space="preserve">. науч. </w:t>
      </w:r>
      <w:proofErr w:type="spellStart"/>
      <w:r w:rsidR="004649C3" w:rsidRPr="00385A7A">
        <w:rPr>
          <w:rFonts w:ascii="Times New Roman" w:eastAsia="Calibri" w:hAnsi="Times New Roman" w:cs="Times New Roman"/>
          <w:color w:val="000000"/>
          <w:lang w:val="ru-RU"/>
        </w:rPr>
        <w:t>конф</w:t>
      </w:r>
      <w:proofErr w:type="spellEnd"/>
      <w:r w:rsidR="004649C3" w:rsidRPr="00385A7A">
        <w:rPr>
          <w:rFonts w:ascii="Times New Roman" w:eastAsia="Calibri" w:hAnsi="Times New Roman" w:cs="Times New Roman"/>
          <w:color w:val="000000"/>
          <w:lang w:val="ru-RU"/>
        </w:rPr>
        <w:t>. «Проблемы прогнози</w:t>
      </w:r>
      <w:r w:rsidRPr="00385A7A">
        <w:rPr>
          <w:rFonts w:ascii="Times New Roman" w:eastAsia="Calibri" w:hAnsi="Times New Roman" w:cs="Times New Roman"/>
          <w:color w:val="000000"/>
        </w:rPr>
        <w:t>рования и государственного регулирования социально-экономического развития», 24-25 октября 2013.</w:t>
      </w:r>
      <w:r w:rsidRPr="00385A7A">
        <w:rPr>
          <w:rFonts w:ascii="Times New Roman" w:eastAsia="Calibri" w:hAnsi="Times New Roman" w:cs="Times New Roman"/>
        </w:rPr>
        <w:t xml:space="preserve"> В 3 т. Т.3 / </w:t>
      </w:r>
      <w:proofErr w:type="spellStart"/>
      <w:proofErr w:type="gramStart"/>
      <w:r w:rsidRPr="00385A7A">
        <w:rPr>
          <w:rFonts w:ascii="Times New Roman" w:eastAsia="Calibri" w:hAnsi="Times New Roman" w:cs="Times New Roman"/>
        </w:rPr>
        <w:t>редколл</w:t>
      </w:r>
      <w:proofErr w:type="spellEnd"/>
      <w:r w:rsidRPr="00385A7A">
        <w:rPr>
          <w:rFonts w:ascii="Times New Roman" w:eastAsia="Calibri" w:hAnsi="Times New Roman" w:cs="Times New Roman"/>
        </w:rPr>
        <w:t>.:</w:t>
      </w:r>
      <w:proofErr w:type="gramEnd"/>
      <w:r w:rsidRPr="00385A7A">
        <w:rPr>
          <w:rFonts w:ascii="Times New Roman" w:eastAsia="Calibri" w:hAnsi="Times New Roman" w:cs="Times New Roman"/>
        </w:rPr>
        <w:t xml:space="preserve"> А.В. Червяков (гл.ред.) [</w:t>
      </w:r>
      <w:proofErr w:type="gramStart"/>
      <w:r w:rsidRPr="00385A7A">
        <w:rPr>
          <w:rFonts w:ascii="Times New Roman" w:eastAsia="Calibri" w:hAnsi="Times New Roman" w:cs="Times New Roman"/>
        </w:rPr>
        <w:t>и</w:t>
      </w:r>
      <w:proofErr w:type="gramEnd"/>
      <w:r w:rsidRPr="00385A7A">
        <w:rPr>
          <w:rFonts w:ascii="Times New Roman" w:eastAsia="Calibri" w:hAnsi="Times New Roman" w:cs="Times New Roman"/>
        </w:rPr>
        <w:t xml:space="preserve"> др.]. </w:t>
      </w:r>
      <w:proofErr w:type="gramStart"/>
      <w:r w:rsidRPr="00385A7A">
        <w:rPr>
          <w:rFonts w:ascii="Times New Roman" w:eastAsia="Calibri" w:hAnsi="Times New Roman" w:cs="Times New Roman"/>
        </w:rPr>
        <w:t>–  Минск</w:t>
      </w:r>
      <w:proofErr w:type="gramEnd"/>
      <w:r w:rsidRPr="00385A7A">
        <w:rPr>
          <w:rFonts w:ascii="Times New Roman" w:eastAsia="Calibri" w:hAnsi="Times New Roman" w:cs="Times New Roman"/>
        </w:rPr>
        <w:t>/ НИЭИ М-</w:t>
      </w:r>
      <w:proofErr w:type="spellStart"/>
      <w:r w:rsidRPr="00385A7A">
        <w:rPr>
          <w:rFonts w:ascii="Times New Roman" w:eastAsia="Calibri" w:hAnsi="Times New Roman" w:cs="Times New Roman"/>
        </w:rPr>
        <w:t>ва</w:t>
      </w:r>
      <w:proofErr w:type="spellEnd"/>
      <w:r w:rsidRPr="00385A7A">
        <w:rPr>
          <w:rFonts w:ascii="Times New Roman" w:eastAsia="Calibri" w:hAnsi="Times New Roman" w:cs="Times New Roman"/>
        </w:rPr>
        <w:t xml:space="preserve"> экономики </w:t>
      </w:r>
      <w:proofErr w:type="spellStart"/>
      <w:r w:rsidRPr="00385A7A">
        <w:rPr>
          <w:rFonts w:ascii="Times New Roman" w:eastAsia="Calibri" w:hAnsi="Times New Roman" w:cs="Times New Roman"/>
        </w:rPr>
        <w:t>Респ</w:t>
      </w:r>
      <w:proofErr w:type="spellEnd"/>
      <w:r w:rsidRPr="00385A7A">
        <w:rPr>
          <w:rFonts w:ascii="Times New Roman" w:eastAsia="Calibri" w:hAnsi="Times New Roman" w:cs="Times New Roman"/>
        </w:rPr>
        <w:t xml:space="preserve">. </w:t>
      </w:r>
      <w:proofErr w:type="spellStart"/>
      <w:r w:rsidRPr="00385A7A">
        <w:rPr>
          <w:rFonts w:ascii="Times New Roman" w:eastAsia="Calibri" w:hAnsi="Times New Roman" w:cs="Times New Roman"/>
        </w:rPr>
        <w:t>Беларусь</w:t>
      </w:r>
      <w:proofErr w:type="spellEnd"/>
      <w:r w:rsidRPr="003311F2">
        <w:rPr>
          <w:rFonts w:ascii="Times New Roman" w:eastAsia="Calibri" w:hAnsi="Times New Roman" w:cs="Times New Roman"/>
        </w:rPr>
        <w:t>, 2013. -С.207 - 208.</w:t>
      </w:r>
    </w:p>
    <w:p w:rsidR="004649C3" w:rsidRPr="003311F2" w:rsidRDefault="004649C3" w:rsidP="003311F2">
      <w:pPr>
        <w:numPr>
          <w:ilvl w:val="0"/>
          <w:numId w:val="1"/>
        </w:numPr>
        <w:tabs>
          <w:tab w:val="left" w:pos="0"/>
          <w:tab w:val="num" w:pos="567"/>
          <w:tab w:val="left" w:pos="851"/>
          <w:tab w:val="left" w:pos="1134"/>
        </w:tabs>
        <w:ind w:left="0" w:firstLine="567"/>
        <w:jc w:val="both"/>
        <w:rPr>
          <w:rFonts w:ascii="Times New Roman" w:eastAsia="Times New Roman" w:hAnsi="Times New Roman" w:cs="Times New Roman"/>
        </w:rPr>
      </w:pPr>
      <w:r w:rsidRPr="003311F2">
        <w:rPr>
          <w:rFonts w:ascii="Times New Roman" w:eastAsia="Calibri" w:hAnsi="Times New Roman" w:cs="Times New Roman"/>
          <w:lang w:val="ru-RU"/>
        </w:rPr>
        <w:t>Королев  А.В. Формирование региональных планов мобильности на принципах устойчивого развития</w:t>
      </w:r>
      <w:r w:rsidRPr="003311F2">
        <w:rPr>
          <w:rFonts w:ascii="Times New Roman" w:eastAsia="Times New Roman" w:hAnsi="Times New Roman" w:cs="Times New Roman"/>
          <w:lang w:val="ru-RU"/>
        </w:rPr>
        <w:t xml:space="preserve">. </w:t>
      </w:r>
      <w:r w:rsidRPr="003311F2">
        <w:rPr>
          <w:rFonts w:ascii="Times New Roman" w:eastAsia="Calibri" w:hAnsi="Times New Roman" w:cs="Times New Roman"/>
          <w:lang w:val="ru-RU"/>
        </w:rPr>
        <w:t xml:space="preserve">Материалы 5-ой Международной </w:t>
      </w:r>
      <w:proofErr w:type="spellStart"/>
      <w:r w:rsidRPr="003311F2">
        <w:rPr>
          <w:rFonts w:ascii="Times New Roman" w:eastAsia="Calibri" w:hAnsi="Times New Roman" w:cs="Times New Roman"/>
          <w:lang w:val="ru-RU"/>
        </w:rPr>
        <w:t>заоч</w:t>
      </w:r>
      <w:proofErr w:type="spellEnd"/>
      <w:r w:rsidRPr="003311F2">
        <w:rPr>
          <w:rFonts w:ascii="Times New Roman" w:eastAsia="Calibri" w:hAnsi="Times New Roman" w:cs="Times New Roman"/>
          <w:lang w:val="ru-RU"/>
        </w:rPr>
        <w:t>. науч</w:t>
      </w:r>
      <w:proofErr w:type="gramStart"/>
      <w:r w:rsidRPr="003311F2">
        <w:rPr>
          <w:rFonts w:ascii="Times New Roman" w:eastAsia="Calibri" w:hAnsi="Times New Roman" w:cs="Times New Roman"/>
          <w:lang w:val="ru-RU"/>
        </w:rPr>
        <w:t>.-</w:t>
      </w:r>
      <w:proofErr w:type="spellStart"/>
      <w:proofErr w:type="gramEnd"/>
      <w:r w:rsidRPr="003311F2">
        <w:rPr>
          <w:rFonts w:ascii="Times New Roman" w:eastAsia="Calibri" w:hAnsi="Times New Roman" w:cs="Times New Roman"/>
          <w:lang w:val="ru-RU"/>
        </w:rPr>
        <w:t>практич</w:t>
      </w:r>
      <w:proofErr w:type="spellEnd"/>
      <w:r w:rsidRPr="003311F2">
        <w:rPr>
          <w:rFonts w:ascii="Times New Roman" w:eastAsia="Calibri" w:hAnsi="Times New Roman" w:cs="Times New Roman"/>
          <w:lang w:val="ru-RU"/>
        </w:rPr>
        <w:t xml:space="preserve">. </w:t>
      </w:r>
      <w:proofErr w:type="spellStart"/>
      <w:r w:rsidRPr="003311F2">
        <w:rPr>
          <w:rFonts w:ascii="Times New Roman" w:eastAsia="Calibri" w:hAnsi="Times New Roman" w:cs="Times New Roman"/>
          <w:lang w:val="ru-RU"/>
        </w:rPr>
        <w:t>конф</w:t>
      </w:r>
      <w:proofErr w:type="spellEnd"/>
      <w:r w:rsidRPr="003311F2">
        <w:rPr>
          <w:rFonts w:ascii="Times New Roman" w:eastAsia="Calibri" w:hAnsi="Times New Roman" w:cs="Times New Roman"/>
          <w:lang w:val="ru-RU"/>
        </w:rPr>
        <w:t xml:space="preserve">. «Инновационные процессы и корпоративное управление», 15-30 марта 2013г., Минск/ Белорусский государственный университет, Институт бизнеса и менеджмента технологий/ </w:t>
      </w:r>
      <w:proofErr w:type="spellStart"/>
      <w:r w:rsidRPr="003311F2">
        <w:rPr>
          <w:rFonts w:ascii="Times New Roman" w:eastAsia="Calibri" w:hAnsi="Times New Roman" w:cs="Times New Roman"/>
          <w:lang w:val="ru-RU"/>
        </w:rPr>
        <w:t>редколл</w:t>
      </w:r>
      <w:proofErr w:type="spellEnd"/>
      <w:r w:rsidRPr="003311F2">
        <w:rPr>
          <w:rFonts w:ascii="Times New Roman" w:eastAsia="Calibri" w:hAnsi="Times New Roman" w:cs="Times New Roman"/>
          <w:lang w:val="ru-RU"/>
        </w:rPr>
        <w:t xml:space="preserve">.: В.В. </w:t>
      </w:r>
      <w:proofErr w:type="spellStart"/>
      <w:r w:rsidRPr="003311F2">
        <w:rPr>
          <w:rFonts w:ascii="Times New Roman" w:eastAsia="Calibri" w:hAnsi="Times New Roman" w:cs="Times New Roman"/>
          <w:lang w:val="ru-RU"/>
        </w:rPr>
        <w:t>Апанасович</w:t>
      </w:r>
      <w:proofErr w:type="spellEnd"/>
      <w:r w:rsidRPr="003311F2">
        <w:rPr>
          <w:rFonts w:ascii="Times New Roman" w:eastAsia="Calibri" w:hAnsi="Times New Roman" w:cs="Times New Roman"/>
          <w:lang w:val="ru-RU"/>
        </w:rPr>
        <w:t xml:space="preserve"> (</w:t>
      </w:r>
      <w:proofErr w:type="spellStart"/>
      <w:r w:rsidRPr="003311F2">
        <w:rPr>
          <w:rFonts w:ascii="Times New Roman" w:eastAsia="Calibri" w:hAnsi="Times New Roman" w:cs="Times New Roman"/>
          <w:lang w:val="ru-RU"/>
        </w:rPr>
        <w:t>гл</w:t>
      </w:r>
      <w:proofErr w:type="gramStart"/>
      <w:r w:rsidRPr="003311F2">
        <w:rPr>
          <w:rFonts w:ascii="Times New Roman" w:eastAsia="Calibri" w:hAnsi="Times New Roman" w:cs="Times New Roman"/>
          <w:lang w:val="ru-RU"/>
        </w:rPr>
        <w:t>.р</w:t>
      </w:r>
      <w:proofErr w:type="gramEnd"/>
      <w:r w:rsidRPr="003311F2">
        <w:rPr>
          <w:rFonts w:ascii="Times New Roman" w:eastAsia="Calibri" w:hAnsi="Times New Roman" w:cs="Times New Roman"/>
          <w:lang w:val="ru-RU"/>
        </w:rPr>
        <w:t>ед</w:t>
      </w:r>
      <w:proofErr w:type="spellEnd"/>
      <w:r w:rsidRPr="003311F2">
        <w:rPr>
          <w:rFonts w:ascii="Times New Roman" w:eastAsia="Calibri" w:hAnsi="Times New Roman" w:cs="Times New Roman"/>
          <w:lang w:val="ru-RU"/>
        </w:rPr>
        <w:t xml:space="preserve">.) </w:t>
      </w:r>
      <w:r w:rsidRPr="003311F2">
        <w:rPr>
          <w:rFonts w:ascii="Times New Roman" w:eastAsia="Calibri" w:hAnsi="Times New Roman" w:cs="Times New Roman"/>
        </w:rPr>
        <w:t xml:space="preserve">[и </w:t>
      </w:r>
      <w:proofErr w:type="spellStart"/>
      <w:r w:rsidRPr="003311F2">
        <w:rPr>
          <w:rFonts w:ascii="Times New Roman" w:eastAsia="Calibri" w:hAnsi="Times New Roman" w:cs="Times New Roman"/>
        </w:rPr>
        <w:t>др</w:t>
      </w:r>
      <w:proofErr w:type="spellEnd"/>
      <w:r w:rsidRPr="003311F2">
        <w:rPr>
          <w:rFonts w:ascii="Times New Roman" w:eastAsia="Calibri" w:hAnsi="Times New Roman" w:cs="Times New Roman"/>
        </w:rPr>
        <w:t xml:space="preserve">.]. –  </w:t>
      </w:r>
      <w:proofErr w:type="spellStart"/>
      <w:r w:rsidRPr="003311F2">
        <w:rPr>
          <w:rFonts w:ascii="Times New Roman" w:eastAsia="Calibri" w:hAnsi="Times New Roman" w:cs="Times New Roman"/>
        </w:rPr>
        <w:t>Минск</w:t>
      </w:r>
      <w:proofErr w:type="spellEnd"/>
      <w:r w:rsidRPr="003311F2">
        <w:rPr>
          <w:rFonts w:ascii="Times New Roman" w:eastAsia="Calibri" w:hAnsi="Times New Roman" w:cs="Times New Roman"/>
        </w:rPr>
        <w:t xml:space="preserve">: </w:t>
      </w:r>
      <w:proofErr w:type="spellStart"/>
      <w:r w:rsidRPr="003311F2">
        <w:rPr>
          <w:rFonts w:ascii="Times New Roman" w:eastAsia="Calibri" w:hAnsi="Times New Roman" w:cs="Times New Roman"/>
        </w:rPr>
        <w:t>Национальная</w:t>
      </w:r>
      <w:proofErr w:type="spellEnd"/>
      <w:r w:rsidRPr="003311F2">
        <w:rPr>
          <w:rFonts w:ascii="Times New Roman" w:eastAsia="Calibri" w:hAnsi="Times New Roman" w:cs="Times New Roman"/>
        </w:rPr>
        <w:t xml:space="preserve"> </w:t>
      </w:r>
      <w:proofErr w:type="spellStart"/>
      <w:r w:rsidRPr="003311F2">
        <w:rPr>
          <w:rFonts w:ascii="Times New Roman" w:eastAsia="Calibri" w:hAnsi="Times New Roman" w:cs="Times New Roman"/>
        </w:rPr>
        <w:t>библиотека</w:t>
      </w:r>
      <w:proofErr w:type="spellEnd"/>
      <w:r w:rsidRPr="003311F2">
        <w:rPr>
          <w:rFonts w:ascii="Times New Roman" w:eastAsia="Calibri" w:hAnsi="Times New Roman" w:cs="Times New Roman"/>
        </w:rPr>
        <w:t xml:space="preserve"> </w:t>
      </w:r>
      <w:proofErr w:type="spellStart"/>
      <w:r w:rsidRPr="003311F2">
        <w:rPr>
          <w:rFonts w:ascii="Times New Roman" w:eastAsia="Calibri" w:hAnsi="Times New Roman" w:cs="Times New Roman"/>
        </w:rPr>
        <w:t>Беларуси</w:t>
      </w:r>
      <w:proofErr w:type="spellEnd"/>
      <w:r w:rsidRPr="003311F2">
        <w:rPr>
          <w:rFonts w:ascii="Times New Roman" w:eastAsia="Calibri" w:hAnsi="Times New Roman" w:cs="Times New Roman"/>
        </w:rPr>
        <w:t>, 2013. -С.166 - 169.</w:t>
      </w:r>
    </w:p>
    <w:p w:rsidR="0032385E" w:rsidRPr="003311F2" w:rsidRDefault="0032385E" w:rsidP="003311F2">
      <w:pPr>
        <w:tabs>
          <w:tab w:val="left" w:pos="0"/>
          <w:tab w:val="left" w:pos="709"/>
          <w:tab w:val="left" w:pos="851"/>
        </w:tabs>
        <w:autoSpaceDN w:val="0"/>
        <w:ind w:firstLine="567"/>
        <w:jc w:val="both"/>
      </w:pPr>
    </w:p>
    <w:p w:rsidR="0032385E" w:rsidRPr="003311F2" w:rsidRDefault="0032385E" w:rsidP="009D1A80">
      <w:pPr>
        <w:rPr>
          <w:rFonts w:ascii="Times New Roman" w:hAnsi="Times New Roman" w:cs="Times New Roman"/>
          <w:lang w:val="ru-RU"/>
        </w:rPr>
      </w:pPr>
    </w:p>
    <w:sectPr w:rsidR="0032385E" w:rsidRPr="003311F2" w:rsidSect="0092778E">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62" w:rsidRDefault="00C44762" w:rsidP="00F612FB">
      <w:r>
        <w:separator/>
      </w:r>
    </w:p>
  </w:endnote>
  <w:endnote w:type="continuationSeparator" w:id="0">
    <w:p w:rsidR="00C44762" w:rsidRDefault="00C44762" w:rsidP="00F6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2257"/>
      <w:docPartObj>
        <w:docPartGallery w:val="Page Numbers (Bottom of Page)"/>
        <w:docPartUnique/>
      </w:docPartObj>
    </w:sdtPr>
    <w:sdtEndPr>
      <w:rPr>
        <w:rFonts w:ascii="Times New Roman" w:hAnsi="Times New Roman" w:cs="Times New Roman"/>
      </w:rPr>
    </w:sdtEndPr>
    <w:sdtContent>
      <w:p w:rsidR="00F612FB" w:rsidRPr="003311F2" w:rsidRDefault="00CF3220">
        <w:pPr>
          <w:pStyle w:val="ab"/>
          <w:jc w:val="center"/>
          <w:rPr>
            <w:rFonts w:ascii="Times New Roman" w:hAnsi="Times New Roman" w:cs="Times New Roman"/>
          </w:rPr>
        </w:pPr>
        <w:r w:rsidRPr="003311F2">
          <w:rPr>
            <w:rFonts w:ascii="Times New Roman" w:hAnsi="Times New Roman" w:cs="Times New Roman"/>
          </w:rPr>
          <w:fldChar w:fldCharType="begin"/>
        </w:r>
        <w:r w:rsidRPr="003311F2">
          <w:rPr>
            <w:rFonts w:ascii="Times New Roman" w:hAnsi="Times New Roman" w:cs="Times New Roman"/>
          </w:rPr>
          <w:instrText xml:space="preserve"> PAGE   \* MERGEFORMAT </w:instrText>
        </w:r>
        <w:r w:rsidRPr="003311F2">
          <w:rPr>
            <w:rFonts w:ascii="Times New Roman" w:hAnsi="Times New Roman" w:cs="Times New Roman"/>
          </w:rPr>
          <w:fldChar w:fldCharType="separate"/>
        </w:r>
        <w:r w:rsidR="00D76280">
          <w:rPr>
            <w:rFonts w:ascii="Times New Roman" w:hAnsi="Times New Roman" w:cs="Times New Roman"/>
            <w:noProof/>
          </w:rPr>
          <w:t>1</w:t>
        </w:r>
        <w:r w:rsidRPr="003311F2">
          <w:rPr>
            <w:rFonts w:ascii="Times New Roman" w:hAnsi="Times New Roman" w:cs="Times New Roman"/>
          </w:rPr>
          <w:fldChar w:fldCharType="end"/>
        </w:r>
      </w:p>
    </w:sdtContent>
  </w:sdt>
  <w:p w:rsidR="00F612FB" w:rsidRDefault="00F612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62" w:rsidRDefault="00C44762" w:rsidP="00F612FB">
      <w:r>
        <w:separator/>
      </w:r>
    </w:p>
  </w:footnote>
  <w:footnote w:type="continuationSeparator" w:id="0">
    <w:p w:rsidR="00C44762" w:rsidRDefault="00C44762" w:rsidP="00F61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47EC7"/>
    <w:multiLevelType w:val="hybridMultilevel"/>
    <w:tmpl w:val="D3BA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2C5080"/>
    <w:multiLevelType w:val="hybridMultilevel"/>
    <w:tmpl w:val="790C5686"/>
    <w:lvl w:ilvl="0" w:tplc="6E3099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58B2A11"/>
    <w:multiLevelType w:val="hybridMultilevel"/>
    <w:tmpl w:val="469E95D2"/>
    <w:lvl w:ilvl="0" w:tplc="BE3C8C94">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BD230D"/>
    <w:multiLevelType w:val="hybridMultilevel"/>
    <w:tmpl w:val="1EBA0542"/>
    <w:lvl w:ilvl="0" w:tplc="F8E05DFC">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461B"/>
    <w:rsid w:val="000339CB"/>
    <w:rsid w:val="000A6253"/>
    <w:rsid w:val="00164158"/>
    <w:rsid w:val="001667A8"/>
    <w:rsid w:val="00212740"/>
    <w:rsid w:val="00274768"/>
    <w:rsid w:val="002E71F2"/>
    <w:rsid w:val="002F7DF9"/>
    <w:rsid w:val="0032097C"/>
    <w:rsid w:val="0032385E"/>
    <w:rsid w:val="003311F2"/>
    <w:rsid w:val="00337A7D"/>
    <w:rsid w:val="00385A7A"/>
    <w:rsid w:val="004649C3"/>
    <w:rsid w:val="0046622D"/>
    <w:rsid w:val="004668D9"/>
    <w:rsid w:val="0047743D"/>
    <w:rsid w:val="00600074"/>
    <w:rsid w:val="00650E59"/>
    <w:rsid w:val="006A3B3D"/>
    <w:rsid w:val="006E1BF3"/>
    <w:rsid w:val="00721AF7"/>
    <w:rsid w:val="007A3B19"/>
    <w:rsid w:val="00875ED9"/>
    <w:rsid w:val="0092778E"/>
    <w:rsid w:val="009B1EEE"/>
    <w:rsid w:val="009D1A80"/>
    <w:rsid w:val="00A121B8"/>
    <w:rsid w:val="00A42CFF"/>
    <w:rsid w:val="00A73543"/>
    <w:rsid w:val="00AC4593"/>
    <w:rsid w:val="00C44762"/>
    <w:rsid w:val="00C97D7B"/>
    <w:rsid w:val="00CB6A61"/>
    <w:rsid w:val="00CF3220"/>
    <w:rsid w:val="00D76280"/>
    <w:rsid w:val="00D9461B"/>
    <w:rsid w:val="00E810E0"/>
    <w:rsid w:val="00F612FB"/>
    <w:rsid w:val="00F8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9461B"/>
    <w:rPr>
      <w:color w:val="0000FF"/>
      <w:u w:val="single"/>
    </w:rPr>
  </w:style>
  <w:style w:type="paragraph" w:customStyle="1" w:styleId="Normal1">
    <w:name w:val="Normal1"/>
    <w:rsid w:val="0032097C"/>
    <w:rPr>
      <w:rFonts w:ascii="Times New Roman" w:eastAsia="Times New Roman" w:hAnsi="Times New Roman" w:cs="Times New Roman"/>
      <w:sz w:val="20"/>
      <w:szCs w:val="20"/>
      <w:lang w:val="ru-RU" w:eastAsia="ru-RU"/>
    </w:rPr>
  </w:style>
  <w:style w:type="paragraph" w:styleId="a4">
    <w:name w:val="Plain Text"/>
    <w:basedOn w:val="a"/>
    <w:link w:val="a5"/>
    <w:rsid w:val="0032097C"/>
    <w:rPr>
      <w:rFonts w:ascii="Courier New" w:eastAsia="Times New Roman" w:hAnsi="Courier New" w:cs="Times New Roman"/>
      <w:sz w:val="20"/>
      <w:szCs w:val="20"/>
      <w:lang w:val="ru-RU" w:eastAsia="ru-RU"/>
    </w:rPr>
  </w:style>
  <w:style w:type="character" w:customStyle="1" w:styleId="a5">
    <w:name w:val="Текст Знак"/>
    <w:basedOn w:val="a0"/>
    <w:link w:val="a4"/>
    <w:rsid w:val="0032097C"/>
    <w:rPr>
      <w:rFonts w:ascii="Courier New" w:eastAsia="Times New Roman" w:hAnsi="Courier New" w:cs="Times New Roman"/>
      <w:sz w:val="20"/>
      <w:szCs w:val="20"/>
      <w:lang w:val="ru-RU" w:eastAsia="ru-RU"/>
    </w:rPr>
  </w:style>
  <w:style w:type="paragraph" w:styleId="a6">
    <w:name w:val="List Paragraph"/>
    <w:basedOn w:val="a"/>
    <w:qFormat/>
    <w:rsid w:val="0032097C"/>
    <w:pPr>
      <w:ind w:left="720"/>
      <w:contextualSpacing/>
    </w:pPr>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600074"/>
    <w:rPr>
      <w:rFonts w:ascii="Tahoma" w:hAnsi="Tahoma" w:cs="Tahoma"/>
      <w:sz w:val="16"/>
      <w:szCs w:val="16"/>
    </w:rPr>
  </w:style>
  <w:style w:type="character" w:customStyle="1" w:styleId="a8">
    <w:name w:val="Текст выноски Знак"/>
    <w:basedOn w:val="a0"/>
    <w:link w:val="a7"/>
    <w:uiPriority w:val="99"/>
    <w:semiHidden/>
    <w:rsid w:val="00600074"/>
    <w:rPr>
      <w:rFonts w:ascii="Tahoma" w:hAnsi="Tahoma" w:cs="Tahoma"/>
      <w:sz w:val="16"/>
      <w:szCs w:val="16"/>
    </w:rPr>
  </w:style>
  <w:style w:type="paragraph" w:customStyle="1" w:styleId="-11">
    <w:name w:val="Цветной список - Акцент 11"/>
    <w:basedOn w:val="a"/>
    <w:uiPriority w:val="34"/>
    <w:qFormat/>
    <w:rsid w:val="006A3B3D"/>
    <w:pPr>
      <w:ind w:left="720"/>
      <w:contextualSpacing/>
    </w:pPr>
    <w:rPr>
      <w:rFonts w:ascii="Cambria" w:eastAsia="MS Mincho" w:hAnsi="Cambria" w:cs="Times New Roman"/>
    </w:rPr>
  </w:style>
  <w:style w:type="paragraph" w:styleId="a9">
    <w:name w:val="header"/>
    <w:basedOn w:val="a"/>
    <w:link w:val="aa"/>
    <w:uiPriority w:val="99"/>
    <w:unhideWhenUsed/>
    <w:rsid w:val="00F612FB"/>
    <w:pPr>
      <w:tabs>
        <w:tab w:val="center" w:pos="4677"/>
        <w:tab w:val="right" w:pos="9355"/>
      </w:tabs>
    </w:pPr>
  </w:style>
  <w:style w:type="character" w:customStyle="1" w:styleId="aa">
    <w:name w:val="Верхний колонтитул Знак"/>
    <w:basedOn w:val="a0"/>
    <w:link w:val="a9"/>
    <w:uiPriority w:val="99"/>
    <w:rsid w:val="00F612FB"/>
  </w:style>
  <w:style w:type="paragraph" w:styleId="ab">
    <w:name w:val="footer"/>
    <w:basedOn w:val="a"/>
    <w:link w:val="ac"/>
    <w:uiPriority w:val="99"/>
    <w:unhideWhenUsed/>
    <w:rsid w:val="00F612FB"/>
    <w:pPr>
      <w:tabs>
        <w:tab w:val="center" w:pos="4677"/>
        <w:tab w:val="right" w:pos="9355"/>
      </w:tabs>
    </w:pPr>
  </w:style>
  <w:style w:type="character" w:customStyle="1" w:styleId="ac">
    <w:name w:val="Нижний колонтитул Знак"/>
    <w:basedOn w:val="a0"/>
    <w:link w:val="ab"/>
    <w:uiPriority w:val="99"/>
    <w:rsid w:val="00F612FB"/>
  </w:style>
  <w:style w:type="character" w:styleId="ad">
    <w:name w:val="annotation reference"/>
    <w:basedOn w:val="a0"/>
    <w:uiPriority w:val="99"/>
    <w:semiHidden/>
    <w:unhideWhenUsed/>
    <w:rsid w:val="0032385E"/>
    <w:rPr>
      <w:sz w:val="18"/>
      <w:szCs w:val="18"/>
    </w:rPr>
  </w:style>
  <w:style w:type="paragraph" w:styleId="ae">
    <w:name w:val="annotation text"/>
    <w:basedOn w:val="a"/>
    <w:link w:val="af"/>
    <w:uiPriority w:val="99"/>
    <w:semiHidden/>
    <w:unhideWhenUsed/>
    <w:rsid w:val="0032385E"/>
  </w:style>
  <w:style w:type="character" w:customStyle="1" w:styleId="af">
    <w:name w:val="Текст примечания Знак"/>
    <w:basedOn w:val="a0"/>
    <w:link w:val="ae"/>
    <w:uiPriority w:val="99"/>
    <w:semiHidden/>
    <w:rsid w:val="00323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94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user</cp:lastModifiedBy>
  <cp:revision>26</cp:revision>
  <cp:lastPrinted>2013-12-01T13:26:00Z</cp:lastPrinted>
  <dcterms:created xsi:type="dcterms:W3CDTF">2013-11-07T15:43:00Z</dcterms:created>
  <dcterms:modified xsi:type="dcterms:W3CDTF">2013-12-02T04:54:00Z</dcterms:modified>
</cp:coreProperties>
</file>