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A5E" w:rsidRPr="00E223D7" w:rsidRDefault="00B72483" w:rsidP="00B23561">
      <w:pPr>
        <w:pStyle w:val="a3"/>
        <w:ind w:firstLine="851"/>
        <w:jc w:val="center"/>
        <w:rPr>
          <w:rFonts w:cs="Times New Roman"/>
          <w:b/>
          <w:sz w:val="28"/>
          <w:szCs w:val="28"/>
        </w:rPr>
      </w:pPr>
      <w:r w:rsidRPr="00E223D7">
        <w:rPr>
          <w:rFonts w:cs="Times New Roman"/>
          <w:b/>
          <w:sz w:val="28"/>
          <w:szCs w:val="28"/>
        </w:rPr>
        <w:t>С</w:t>
      </w:r>
      <w:r w:rsidR="00A25A5E" w:rsidRPr="00E223D7">
        <w:rPr>
          <w:rFonts w:cs="Times New Roman"/>
          <w:b/>
          <w:sz w:val="28"/>
          <w:szCs w:val="28"/>
        </w:rPr>
        <w:t>РАВНИТЕЛЬНАЯ ХАРАКТЕРИСТИКА ПОКАЗАТЕЛЕЙ ДЕЯТЕЛЬНОСТИ СВОБОДНЫХ ЭКОНОМИЧЕСКИХ ЗОН РЕСПУБЛИКИ БЕЛАРУСЬ</w:t>
      </w:r>
    </w:p>
    <w:p w:rsidR="00DD2CD8" w:rsidRPr="000D7A7A" w:rsidRDefault="00DD2CD8" w:rsidP="00B23561">
      <w:pPr>
        <w:pStyle w:val="a3"/>
        <w:rPr>
          <w:rFonts w:cs="Times New Roman"/>
          <w:sz w:val="28"/>
          <w:szCs w:val="28"/>
        </w:rPr>
      </w:pPr>
      <w:r w:rsidRPr="005845C3">
        <w:rPr>
          <w:rFonts w:cs="Times New Roman"/>
          <w:b/>
          <w:sz w:val="28"/>
          <w:szCs w:val="28"/>
        </w:rPr>
        <w:t>Рогожкина А. Ю</w:t>
      </w:r>
      <w:r w:rsidRPr="000D7A7A">
        <w:rPr>
          <w:rFonts w:cs="Times New Roman"/>
          <w:sz w:val="28"/>
          <w:szCs w:val="28"/>
        </w:rPr>
        <w:t>.</w:t>
      </w:r>
      <w:r w:rsidR="005845C3">
        <w:rPr>
          <w:rFonts w:cs="Times New Roman"/>
          <w:sz w:val="28"/>
          <w:szCs w:val="28"/>
        </w:rPr>
        <w:t>,</w:t>
      </w:r>
      <w:r w:rsidR="0069192E" w:rsidRPr="000D7A7A">
        <w:rPr>
          <w:rFonts w:cs="Times New Roman"/>
          <w:sz w:val="28"/>
          <w:szCs w:val="28"/>
          <w:lang w:val="be-BY"/>
        </w:rPr>
        <w:t xml:space="preserve"> БНТУ 4 курс, факультет маркет</w:t>
      </w:r>
      <w:proofErr w:type="spellStart"/>
      <w:r w:rsidR="0069192E" w:rsidRPr="000D7A7A">
        <w:rPr>
          <w:rFonts w:cs="Times New Roman"/>
          <w:sz w:val="28"/>
          <w:szCs w:val="28"/>
        </w:rPr>
        <w:t>инга</w:t>
      </w:r>
      <w:proofErr w:type="spellEnd"/>
      <w:r w:rsidR="0069192E" w:rsidRPr="000D7A7A">
        <w:rPr>
          <w:rFonts w:cs="Times New Roman"/>
          <w:sz w:val="28"/>
          <w:szCs w:val="28"/>
        </w:rPr>
        <w:t xml:space="preserve"> и предпринимательства</w:t>
      </w:r>
    </w:p>
    <w:p w:rsidR="00DD2CD8" w:rsidRPr="000D7A7A" w:rsidRDefault="00DD2CD8" w:rsidP="00B23561">
      <w:pPr>
        <w:pStyle w:val="a3"/>
        <w:rPr>
          <w:rFonts w:cs="Times New Roman"/>
          <w:sz w:val="28"/>
          <w:szCs w:val="28"/>
        </w:rPr>
      </w:pPr>
      <w:r w:rsidRPr="000D7A7A">
        <w:rPr>
          <w:rFonts w:cs="Times New Roman"/>
          <w:sz w:val="28"/>
          <w:szCs w:val="28"/>
        </w:rPr>
        <w:t xml:space="preserve">Научный руководитель </w:t>
      </w:r>
      <w:r w:rsidR="000D7A7A">
        <w:rPr>
          <w:rFonts w:cs="Times New Roman"/>
          <w:sz w:val="28"/>
          <w:szCs w:val="28"/>
        </w:rPr>
        <w:t xml:space="preserve">- </w:t>
      </w:r>
      <w:r w:rsidRPr="000D7A7A">
        <w:rPr>
          <w:rFonts w:cs="Times New Roman"/>
          <w:sz w:val="28"/>
          <w:szCs w:val="28"/>
        </w:rPr>
        <w:t xml:space="preserve">Козловская З. </w:t>
      </w:r>
      <w:proofErr w:type="spellStart"/>
      <w:r w:rsidRPr="000D7A7A">
        <w:rPr>
          <w:rFonts w:cs="Times New Roman"/>
          <w:sz w:val="28"/>
          <w:szCs w:val="28"/>
        </w:rPr>
        <w:t>Н</w:t>
      </w:r>
      <w:r w:rsidRPr="0069192E">
        <w:rPr>
          <w:rFonts w:cs="Times New Roman"/>
          <w:i/>
          <w:sz w:val="28"/>
          <w:szCs w:val="28"/>
        </w:rPr>
        <w:t>.</w:t>
      </w:r>
      <w:r w:rsidR="000D7A7A">
        <w:rPr>
          <w:rFonts w:cs="Times New Roman"/>
          <w:i/>
          <w:sz w:val="28"/>
          <w:szCs w:val="28"/>
        </w:rPr>
        <w:t>,</w:t>
      </w:r>
      <w:r w:rsidR="000D7A7A" w:rsidRPr="000D7A7A">
        <w:rPr>
          <w:rFonts w:cs="Times New Roman"/>
          <w:sz w:val="28"/>
          <w:szCs w:val="28"/>
        </w:rPr>
        <w:t>к.т.н</w:t>
      </w:r>
      <w:proofErr w:type="spellEnd"/>
      <w:r w:rsidR="000D7A7A" w:rsidRPr="000D7A7A">
        <w:rPr>
          <w:rFonts w:cs="Times New Roman"/>
          <w:sz w:val="28"/>
          <w:szCs w:val="28"/>
        </w:rPr>
        <w:t>., доцент</w:t>
      </w:r>
    </w:p>
    <w:p w:rsidR="0069192E" w:rsidRPr="0069192E" w:rsidRDefault="0069192E" w:rsidP="00D14D13">
      <w:pPr>
        <w:pStyle w:val="a3"/>
        <w:spacing w:line="360" w:lineRule="auto"/>
        <w:ind w:firstLine="851"/>
        <w:jc w:val="center"/>
        <w:rPr>
          <w:rFonts w:cs="Times New Roman"/>
          <w:i/>
          <w:sz w:val="28"/>
          <w:szCs w:val="28"/>
        </w:rPr>
      </w:pPr>
    </w:p>
    <w:p w:rsidR="00DD2CD8" w:rsidRPr="0069192E" w:rsidRDefault="00DD2CD8" w:rsidP="00B23561">
      <w:pPr>
        <w:pStyle w:val="a3"/>
        <w:ind w:firstLine="851"/>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В настоящее время важным аспектом развития и экономического роста Республики Беларусь является эффективность ее вовлечения и интеграцию в мирохозяйственные связи. Поэтому вопрос о нахождении наиболее правильного варианта пути интеграции является основополагающим в вопросе включенности страны в мировое хозяйство. Важную роль в решении данного вопроса играют свободные экономические зоны, чем объясняется актуальность данной работы.</w:t>
      </w:r>
    </w:p>
    <w:p w:rsidR="00DD2CD8" w:rsidRPr="0069192E" w:rsidRDefault="00DD2CD8" w:rsidP="00B23561">
      <w:pPr>
        <w:pStyle w:val="a3"/>
        <w:ind w:firstLine="851"/>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Свободная экономическая зона – часть территории Республики Беларусь с определенными границами, в пределах которой в отношении резидентов этой свободной экономической зоны устанавливается и действует специальный правовой режим для осуществления ими инвестиционной и предпринимательской деятельности [1].</w:t>
      </w:r>
    </w:p>
    <w:p w:rsidR="00DD2CD8" w:rsidRPr="0069192E" w:rsidRDefault="00DD2CD8" w:rsidP="00B23561">
      <w:pPr>
        <w:autoSpaceDE w:val="0"/>
        <w:autoSpaceDN w:val="0"/>
        <w:adjustRightInd w:val="0"/>
        <w:spacing w:after="0" w:line="240" w:lineRule="auto"/>
        <w:ind w:firstLine="851"/>
        <w:jc w:val="both"/>
        <w:rPr>
          <w:rFonts w:cs="Times New Roman"/>
          <w:sz w:val="28"/>
          <w:szCs w:val="28"/>
        </w:rPr>
      </w:pPr>
      <w:r w:rsidRPr="0069192E">
        <w:rPr>
          <w:rFonts w:eastAsia="Times New Roman" w:cs="Times New Roman"/>
          <w:color w:val="000000"/>
          <w:sz w:val="28"/>
          <w:szCs w:val="28"/>
          <w:lang w:eastAsia="ru-RU"/>
        </w:rPr>
        <w:t xml:space="preserve">СЭЗ создаются государством с целью повышения хозяйственной активности отдельных регионов, нуждающихся </w:t>
      </w:r>
      <w:r w:rsidRPr="0069192E">
        <w:rPr>
          <w:rFonts w:cs="Times New Roman"/>
          <w:sz w:val="28"/>
          <w:szCs w:val="28"/>
        </w:rPr>
        <w:t>в реструктуризации с помощью не только национальных ресурсов, но и внешних стратегических инвесторов [2].</w:t>
      </w:r>
    </w:p>
    <w:p w:rsidR="00DD2CD8" w:rsidRPr="0069192E" w:rsidRDefault="00DD2CD8" w:rsidP="00B23561">
      <w:pPr>
        <w:pStyle w:val="a3"/>
        <w:ind w:firstLine="851"/>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СЭЗ призваны стимулировать привлечение отечественных и иностранных инвестиций для развития производств, основанных на новых и высоких технологиях, расширения экспорта, создания благоприятных условий для экономического роста регионов [3].</w:t>
      </w:r>
    </w:p>
    <w:p w:rsidR="00DD2CD8" w:rsidRPr="0069192E" w:rsidRDefault="00DD2CD8" w:rsidP="00B23561">
      <w:pPr>
        <w:pStyle w:val="a3"/>
        <w:ind w:firstLine="851"/>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На 2014 год в Беларуси функционируют 6 СЭЗ: «Минск», «Брест», «Витебск», «Могилев», «</w:t>
      </w:r>
      <w:proofErr w:type="spellStart"/>
      <w:r w:rsidRPr="0069192E">
        <w:rPr>
          <w:rFonts w:eastAsia="Times New Roman" w:cs="Times New Roman"/>
          <w:color w:val="000000"/>
          <w:sz w:val="28"/>
          <w:szCs w:val="28"/>
          <w:lang w:eastAsia="ru-RU"/>
        </w:rPr>
        <w:t>Гродноинвест</w:t>
      </w:r>
      <w:proofErr w:type="spellEnd"/>
      <w:r w:rsidRPr="0069192E">
        <w:rPr>
          <w:rFonts w:eastAsia="Times New Roman" w:cs="Times New Roman"/>
          <w:color w:val="000000"/>
          <w:sz w:val="28"/>
          <w:szCs w:val="28"/>
          <w:lang w:eastAsia="ru-RU"/>
        </w:rPr>
        <w:t>», «</w:t>
      </w:r>
      <w:proofErr w:type="spellStart"/>
      <w:r w:rsidRPr="0069192E">
        <w:rPr>
          <w:rFonts w:eastAsia="Times New Roman" w:cs="Times New Roman"/>
          <w:color w:val="000000"/>
          <w:sz w:val="28"/>
          <w:szCs w:val="28"/>
          <w:lang w:eastAsia="ru-RU"/>
        </w:rPr>
        <w:t>Гомель-Ратон</w:t>
      </w:r>
      <w:proofErr w:type="spellEnd"/>
      <w:r w:rsidRPr="0069192E">
        <w:rPr>
          <w:rFonts w:eastAsia="Times New Roman" w:cs="Times New Roman"/>
          <w:color w:val="000000"/>
          <w:sz w:val="28"/>
          <w:szCs w:val="28"/>
          <w:lang w:eastAsia="ru-RU"/>
        </w:rPr>
        <w:t xml:space="preserve">». </w:t>
      </w:r>
    </w:p>
    <w:p w:rsidR="00DD2CD8" w:rsidRPr="0069192E" w:rsidRDefault="00DD2CD8" w:rsidP="00B23561">
      <w:pPr>
        <w:pStyle w:val="a3"/>
        <w:ind w:firstLine="851"/>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Сравнительная характеристика этих зон по резидентам за 2012 год представлена в таблице 1 (источник [4]).</w:t>
      </w:r>
    </w:p>
    <w:p w:rsidR="00DD2CD8" w:rsidRPr="0069192E" w:rsidRDefault="00DD2CD8" w:rsidP="00B23561">
      <w:pPr>
        <w:pStyle w:val="a3"/>
        <w:ind w:firstLine="851"/>
        <w:jc w:val="both"/>
        <w:rPr>
          <w:rFonts w:eastAsia="Times New Roman" w:cs="Times New Roman"/>
          <w:color w:val="000000"/>
          <w:sz w:val="28"/>
          <w:szCs w:val="28"/>
          <w:lang w:eastAsia="ru-RU"/>
        </w:rPr>
      </w:pPr>
    </w:p>
    <w:p w:rsidR="00DD2CD8" w:rsidRPr="0069192E" w:rsidRDefault="00DD2CD8" w:rsidP="00B23561">
      <w:pPr>
        <w:pStyle w:val="a3"/>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Таблица 1 - Сравнительная характеристика СЭЗ Республики Беларусь</w:t>
      </w:r>
    </w:p>
    <w:tbl>
      <w:tblPr>
        <w:tblStyle w:val="a4"/>
        <w:tblW w:w="9464" w:type="dxa"/>
        <w:tblLayout w:type="fixed"/>
        <w:tblLook w:val="04A0"/>
      </w:tblPr>
      <w:tblGrid>
        <w:gridCol w:w="2376"/>
        <w:gridCol w:w="1701"/>
        <w:gridCol w:w="2127"/>
        <w:gridCol w:w="3260"/>
      </w:tblGrid>
      <w:tr w:rsidR="00DD2CD8" w:rsidRPr="0069192E" w:rsidTr="00F04DB1">
        <w:tc>
          <w:tcPr>
            <w:tcW w:w="2376"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СЭЗ</w:t>
            </w:r>
          </w:p>
        </w:tc>
        <w:tc>
          <w:tcPr>
            <w:tcW w:w="1701"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Количество резидентов</w:t>
            </w:r>
          </w:p>
        </w:tc>
        <w:tc>
          <w:tcPr>
            <w:tcW w:w="2127"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Кол-во убыточных предприятий</w:t>
            </w:r>
          </w:p>
        </w:tc>
        <w:tc>
          <w:tcPr>
            <w:tcW w:w="3260"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Доля убыточных предприятий, %</w:t>
            </w:r>
          </w:p>
        </w:tc>
      </w:tr>
      <w:tr w:rsidR="00DD2CD8" w:rsidRPr="0069192E" w:rsidTr="00F04DB1">
        <w:tc>
          <w:tcPr>
            <w:tcW w:w="2376" w:type="dxa"/>
          </w:tcPr>
          <w:p w:rsidR="00DD2CD8" w:rsidRPr="0069192E" w:rsidRDefault="00DD2CD8" w:rsidP="00B23561">
            <w:pPr>
              <w:pStyle w:val="a3"/>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«Минск»</w:t>
            </w:r>
          </w:p>
        </w:tc>
        <w:tc>
          <w:tcPr>
            <w:tcW w:w="1701"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143</w:t>
            </w:r>
          </w:p>
        </w:tc>
        <w:tc>
          <w:tcPr>
            <w:tcW w:w="2127"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14</w:t>
            </w:r>
          </w:p>
        </w:tc>
        <w:tc>
          <w:tcPr>
            <w:tcW w:w="3260" w:type="dxa"/>
          </w:tcPr>
          <w:p w:rsidR="00DD2CD8" w:rsidRPr="0069192E" w:rsidRDefault="00DD2CD8" w:rsidP="00B23561">
            <w:pPr>
              <w:jc w:val="center"/>
              <w:rPr>
                <w:rFonts w:cs="Times New Roman"/>
                <w:color w:val="000000"/>
                <w:sz w:val="28"/>
                <w:szCs w:val="28"/>
              </w:rPr>
            </w:pPr>
            <w:r w:rsidRPr="0069192E">
              <w:rPr>
                <w:rFonts w:cs="Times New Roman"/>
                <w:color w:val="000000"/>
                <w:sz w:val="28"/>
                <w:szCs w:val="28"/>
              </w:rPr>
              <w:t>9,79</w:t>
            </w:r>
          </w:p>
        </w:tc>
      </w:tr>
      <w:tr w:rsidR="00DD2CD8" w:rsidRPr="0069192E" w:rsidTr="00F04DB1">
        <w:tc>
          <w:tcPr>
            <w:tcW w:w="2376" w:type="dxa"/>
          </w:tcPr>
          <w:p w:rsidR="00DD2CD8" w:rsidRPr="0069192E" w:rsidRDefault="00DD2CD8" w:rsidP="00B23561">
            <w:pPr>
              <w:pStyle w:val="a3"/>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«Брест»</w:t>
            </w:r>
          </w:p>
        </w:tc>
        <w:tc>
          <w:tcPr>
            <w:tcW w:w="1701"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91</w:t>
            </w:r>
          </w:p>
        </w:tc>
        <w:tc>
          <w:tcPr>
            <w:tcW w:w="2127"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11</w:t>
            </w:r>
          </w:p>
        </w:tc>
        <w:tc>
          <w:tcPr>
            <w:tcW w:w="3260" w:type="dxa"/>
          </w:tcPr>
          <w:p w:rsidR="00DD2CD8" w:rsidRPr="0069192E" w:rsidRDefault="00DD2CD8" w:rsidP="00B23561">
            <w:pPr>
              <w:jc w:val="center"/>
              <w:rPr>
                <w:rFonts w:cs="Times New Roman"/>
                <w:color w:val="000000"/>
                <w:sz w:val="28"/>
                <w:szCs w:val="28"/>
              </w:rPr>
            </w:pPr>
            <w:r w:rsidRPr="0069192E">
              <w:rPr>
                <w:rFonts w:cs="Times New Roman"/>
                <w:color w:val="000000"/>
                <w:sz w:val="28"/>
                <w:szCs w:val="28"/>
              </w:rPr>
              <w:t>12,09</w:t>
            </w:r>
          </w:p>
        </w:tc>
      </w:tr>
      <w:tr w:rsidR="00DD2CD8" w:rsidRPr="0069192E" w:rsidTr="00F04DB1">
        <w:tc>
          <w:tcPr>
            <w:tcW w:w="2376" w:type="dxa"/>
          </w:tcPr>
          <w:p w:rsidR="00DD2CD8" w:rsidRPr="0069192E" w:rsidRDefault="00DD2CD8" w:rsidP="00B23561">
            <w:pPr>
              <w:pStyle w:val="a3"/>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«Витебск»</w:t>
            </w:r>
          </w:p>
        </w:tc>
        <w:tc>
          <w:tcPr>
            <w:tcW w:w="1701"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60</w:t>
            </w:r>
          </w:p>
        </w:tc>
        <w:tc>
          <w:tcPr>
            <w:tcW w:w="2127"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8</w:t>
            </w:r>
          </w:p>
        </w:tc>
        <w:tc>
          <w:tcPr>
            <w:tcW w:w="3260" w:type="dxa"/>
          </w:tcPr>
          <w:p w:rsidR="00DD2CD8" w:rsidRPr="0069192E" w:rsidRDefault="00DD2CD8" w:rsidP="00B23561">
            <w:pPr>
              <w:jc w:val="center"/>
              <w:rPr>
                <w:rFonts w:cs="Times New Roman"/>
                <w:color w:val="000000"/>
                <w:sz w:val="28"/>
                <w:szCs w:val="28"/>
              </w:rPr>
            </w:pPr>
            <w:r w:rsidRPr="0069192E">
              <w:rPr>
                <w:rFonts w:cs="Times New Roman"/>
                <w:color w:val="000000"/>
                <w:sz w:val="28"/>
                <w:szCs w:val="28"/>
              </w:rPr>
              <w:t>13,33</w:t>
            </w:r>
          </w:p>
        </w:tc>
      </w:tr>
      <w:tr w:rsidR="00DD2CD8" w:rsidRPr="0069192E" w:rsidTr="00F04DB1">
        <w:tc>
          <w:tcPr>
            <w:tcW w:w="2376" w:type="dxa"/>
          </w:tcPr>
          <w:p w:rsidR="00DD2CD8" w:rsidRPr="0069192E" w:rsidRDefault="00DD2CD8" w:rsidP="00B23561">
            <w:pPr>
              <w:pStyle w:val="a3"/>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«Могилев»</w:t>
            </w:r>
          </w:p>
        </w:tc>
        <w:tc>
          <w:tcPr>
            <w:tcW w:w="1701"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54</w:t>
            </w:r>
          </w:p>
        </w:tc>
        <w:tc>
          <w:tcPr>
            <w:tcW w:w="2127"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6</w:t>
            </w:r>
          </w:p>
        </w:tc>
        <w:tc>
          <w:tcPr>
            <w:tcW w:w="3260" w:type="dxa"/>
          </w:tcPr>
          <w:p w:rsidR="00DD2CD8" w:rsidRPr="0069192E" w:rsidRDefault="00DD2CD8" w:rsidP="00B23561">
            <w:pPr>
              <w:jc w:val="center"/>
              <w:rPr>
                <w:rFonts w:cs="Times New Roman"/>
                <w:color w:val="000000"/>
                <w:sz w:val="28"/>
                <w:szCs w:val="28"/>
              </w:rPr>
            </w:pPr>
            <w:r w:rsidRPr="0069192E">
              <w:rPr>
                <w:rFonts w:cs="Times New Roman"/>
                <w:color w:val="000000"/>
                <w:sz w:val="28"/>
                <w:szCs w:val="28"/>
              </w:rPr>
              <w:t>11,11</w:t>
            </w:r>
          </w:p>
        </w:tc>
      </w:tr>
      <w:tr w:rsidR="00DD2CD8" w:rsidRPr="0069192E" w:rsidTr="00F04DB1">
        <w:tc>
          <w:tcPr>
            <w:tcW w:w="2376" w:type="dxa"/>
          </w:tcPr>
          <w:p w:rsidR="00DD2CD8" w:rsidRPr="0069192E" w:rsidRDefault="00DD2CD8" w:rsidP="00B23561">
            <w:pPr>
              <w:pStyle w:val="a3"/>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w:t>
            </w:r>
            <w:proofErr w:type="spellStart"/>
            <w:r w:rsidRPr="0069192E">
              <w:rPr>
                <w:rFonts w:eastAsia="Times New Roman" w:cs="Times New Roman"/>
                <w:color w:val="000000"/>
                <w:sz w:val="28"/>
                <w:szCs w:val="28"/>
                <w:lang w:eastAsia="ru-RU"/>
              </w:rPr>
              <w:t>Гродноинвест</w:t>
            </w:r>
            <w:proofErr w:type="spellEnd"/>
            <w:r w:rsidRPr="0069192E">
              <w:rPr>
                <w:rFonts w:eastAsia="Times New Roman" w:cs="Times New Roman"/>
                <w:color w:val="000000"/>
                <w:sz w:val="28"/>
                <w:szCs w:val="28"/>
                <w:lang w:eastAsia="ru-RU"/>
              </w:rPr>
              <w:t>»</w:t>
            </w:r>
          </w:p>
        </w:tc>
        <w:tc>
          <w:tcPr>
            <w:tcW w:w="1701"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92</w:t>
            </w:r>
          </w:p>
        </w:tc>
        <w:tc>
          <w:tcPr>
            <w:tcW w:w="2127"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4</w:t>
            </w:r>
          </w:p>
        </w:tc>
        <w:tc>
          <w:tcPr>
            <w:tcW w:w="3260" w:type="dxa"/>
          </w:tcPr>
          <w:p w:rsidR="00DD2CD8" w:rsidRPr="0069192E" w:rsidRDefault="00DD2CD8" w:rsidP="00B23561">
            <w:pPr>
              <w:jc w:val="center"/>
              <w:rPr>
                <w:rFonts w:cs="Times New Roman"/>
                <w:color w:val="000000"/>
                <w:sz w:val="28"/>
                <w:szCs w:val="28"/>
              </w:rPr>
            </w:pPr>
            <w:r w:rsidRPr="0069192E">
              <w:rPr>
                <w:rFonts w:cs="Times New Roman"/>
                <w:color w:val="000000"/>
                <w:sz w:val="28"/>
                <w:szCs w:val="28"/>
              </w:rPr>
              <w:t>4,35</w:t>
            </w:r>
          </w:p>
        </w:tc>
      </w:tr>
      <w:tr w:rsidR="00DD2CD8" w:rsidRPr="0069192E" w:rsidTr="00F04DB1">
        <w:tc>
          <w:tcPr>
            <w:tcW w:w="2376" w:type="dxa"/>
          </w:tcPr>
          <w:p w:rsidR="00DD2CD8" w:rsidRPr="0069192E" w:rsidRDefault="00DD2CD8" w:rsidP="00B23561">
            <w:pPr>
              <w:pStyle w:val="a3"/>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w:t>
            </w:r>
            <w:proofErr w:type="spellStart"/>
            <w:r w:rsidRPr="0069192E">
              <w:rPr>
                <w:rFonts w:eastAsia="Times New Roman" w:cs="Times New Roman"/>
                <w:color w:val="000000"/>
                <w:sz w:val="28"/>
                <w:szCs w:val="28"/>
                <w:lang w:eastAsia="ru-RU"/>
              </w:rPr>
              <w:t>Гомель-Ратон</w:t>
            </w:r>
            <w:proofErr w:type="spellEnd"/>
            <w:r w:rsidRPr="0069192E">
              <w:rPr>
                <w:rFonts w:eastAsia="Times New Roman" w:cs="Times New Roman"/>
                <w:color w:val="000000"/>
                <w:sz w:val="28"/>
                <w:szCs w:val="28"/>
                <w:lang w:eastAsia="ru-RU"/>
              </w:rPr>
              <w:t>»</w:t>
            </w:r>
          </w:p>
        </w:tc>
        <w:tc>
          <w:tcPr>
            <w:tcW w:w="1701"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79</w:t>
            </w:r>
          </w:p>
        </w:tc>
        <w:tc>
          <w:tcPr>
            <w:tcW w:w="2127"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7</w:t>
            </w:r>
          </w:p>
        </w:tc>
        <w:tc>
          <w:tcPr>
            <w:tcW w:w="3260" w:type="dxa"/>
          </w:tcPr>
          <w:p w:rsidR="00DD2CD8" w:rsidRPr="0069192E" w:rsidRDefault="00DD2CD8" w:rsidP="00B23561">
            <w:pPr>
              <w:jc w:val="center"/>
              <w:rPr>
                <w:rFonts w:cs="Times New Roman"/>
                <w:color w:val="000000"/>
                <w:sz w:val="28"/>
                <w:szCs w:val="28"/>
              </w:rPr>
            </w:pPr>
            <w:r w:rsidRPr="0069192E">
              <w:rPr>
                <w:rFonts w:cs="Times New Roman"/>
                <w:color w:val="000000"/>
                <w:sz w:val="28"/>
                <w:szCs w:val="28"/>
              </w:rPr>
              <w:t>8,86</w:t>
            </w:r>
          </w:p>
        </w:tc>
      </w:tr>
      <w:tr w:rsidR="00DD2CD8" w:rsidRPr="0069192E" w:rsidTr="00F04DB1">
        <w:tc>
          <w:tcPr>
            <w:tcW w:w="2376" w:type="dxa"/>
          </w:tcPr>
          <w:p w:rsidR="00DD2CD8" w:rsidRPr="0069192E" w:rsidRDefault="00DD2CD8" w:rsidP="00B23561">
            <w:pPr>
              <w:pStyle w:val="a3"/>
              <w:jc w:val="both"/>
              <w:rPr>
                <w:rFonts w:eastAsia="Times New Roman" w:cs="Times New Roman"/>
                <w:color w:val="000000"/>
                <w:sz w:val="28"/>
                <w:szCs w:val="28"/>
                <w:lang w:eastAsia="ru-RU"/>
              </w:rPr>
            </w:pPr>
            <w:r w:rsidRPr="0069192E">
              <w:rPr>
                <w:rFonts w:eastAsia="Times New Roman" w:cs="Times New Roman"/>
                <w:color w:val="000000"/>
                <w:sz w:val="28"/>
                <w:szCs w:val="28"/>
                <w:lang w:eastAsia="ru-RU"/>
              </w:rPr>
              <w:t>Всего</w:t>
            </w:r>
          </w:p>
        </w:tc>
        <w:tc>
          <w:tcPr>
            <w:tcW w:w="1701"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519</w:t>
            </w:r>
          </w:p>
        </w:tc>
        <w:tc>
          <w:tcPr>
            <w:tcW w:w="2127" w:type="dxa"/>
          </w:tcPr>
          <w:p w:rsidR="00DD2CD8" w:rsidRPr="0069192E" w:rsidRDefault="00DD2CD8" w:rsidP="00B23561">
            <w:pPr>
              <w:pStyle w:val="a3"/>
              <w:jc w:val="center"/>
              <w:rPr>
                <w:rFonts w:eastAsia="Times New Roman" w:cs="Times New Roman"/>
                <w:color w:val="000000"/>
                <w:sz w:val="28"/>
                <w:szCs w:val="28"/>
                <w:lang w:eastAsia="ru-RU"/>
              </w:rPr>
            </w:pPr>
            <w:r w:rsidRPr="0069192E">
              <w:rPr>
                <w:rFonts w:eastAsia="Times New Roman" w:cs="Times New Roman"/>
                <w:color w:val="000000"/>
                <w:sz w:val="28"/>
                <w:szCs w:val="28"/>
                <w:lang w:eastAsia="ru-RU"/>
              </w:rPr>
              <w:t>50</w:t>
            </w:r>
          </w:p>
        </w:tc>
        <w:tc>
          <w:tcPr>
            <w:tcW w:w="3260" w:type="dxa"/>
          </w:tcPr>
          <w:p w:rsidR="00DD2CD8" w:rsidRPr="0069192E" w:rsidRDefault="00DD2CD8" w:rsidP="00B23561">
            <w:pPr>
              <w:jc w:val="center"/>
              <w:rPr>
                <w:rFonts w:cs="Times New Roman"/>
                <w:color w:val="000000"/>
                <w:sz w:val="28"/>
                <w:szCs w:val="28"/>
              </w:rPr>
            </w:pPr>
            <w:r w:rsidRPr="0069192E">
              <w:rPr>
                <w:rFonts w:cs="Times New Roman"/>
                <w:color w:val="000000"/>
                <w:sz w:val="28"/>
                <w:szCs w:val="28"/>
              </w:rPr>
              <w:t>11,14</w:t>
            </w:r>
          </w:p>
        </w:tc>
      </w:tr>
    </w:tbl>
    <w:p w:rsidR="00DD2CD8" w:rsidRPr="0069192E" w:rsidRDefault="00DD2CD8" w:rsidP="00B23561">
      <w:pPr>
        <w:pStyle w:val="a3"/>
        <w:jc w:val="both"/>
        <w:rPr>
          <w:rFonts w:cs="Times New Roman"/>
          <w:sz w:val="28"/>
          <w:szCs w:val="28"/>
        </w:rPr>
      </w:pP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lastRenderedPageBreak/>
        <w:t>Лучшим доказательством эффективной деятельности СЭЗ «Брест» является динамика ее развития. На начало 2012 года в зоне зарегистрировано 94 предприятия-резидента из 20 стран, объем вложенных инвестиций составляет около 850 млн. дол. Основные страны-инвесторы: Россия, Германия, Польша.</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Анализ деятельности СЭЗ «Брест» показывает высокую эффективность работы предприятий-резидентов. Суммарный объем производимой продукции ежегодно увеличивается в 1,2 раза. В 2011 году он превысил 4 триллиона бел</w:t>
      </w:r>
      <w:proofErr w:type="gramStart"/>
      <w:r w:rsidRPr="0069192E">
        <w:rPr>
          <w:rFonts w:cs="Times New Roman"/>
          <w:sz w:val="28"/>
          <w:szCs w:val="28"/>
          <w:lang w:eastAsia="ru-RU"/>
        </w:rPr>
        <w:t>.</w:t>
      </w:r>
      <w:proofErr w:type="gramEnd"/>
      <w:r w:rsidRPr="0069192E">
        <w:rPr>
          <w:rFonts w:cs="Times New Roman"/>
          <w:sz w:val="28"/>
          <w:szCs w:val="28"/>
          <w:lang w:eastAsia="ru-RU"/>
        </w:rPr>
        <w:t xml:space="preserve"> </w:t>
      </w:r>
      <w:proofErr w:type="gramStart"/>
      <w:r w:rsidRPr="0069192E">
        <w:rPr>
          <w:rFonts w:cs="Times New Roman"/>
          <w:sz w:val="28"/>
          <w:szCs w:val="28"/>
          <w:lang w:eastAsia="ru-RU"/>
        </w:rPr>
        <w:t>р</w:t>
      </w:r>
      <w:proofErr w:type="gramEnd"/>
      <w:r w:rsidRPr="0069192E">
        <w:rPr>
          <w:rFonts w:cs="Times New Roman"/>
          <w:sz w:val="28"/>
          <w:szCs w:val="28"/>
          <w:lang w:eastAsia="ru-RU"/>
        </w:rPr>
        <w:t>ублей, что составляет около 900 млн. дол. (650 млн. EURO). При этом продукция из СЭЗ качественна, современна и конкурентоспособна.</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 xml:space="preserve">Являясь </w:t>
      </w:r>
      <w:proofErr w:type="spellStart"/>
      <w:r w:rsidRPr="0069192E">
        <w:rPr>
          <w:rFonts w:cs="Times New Roman"/>
          <w:sz w:val="28"/>
          <w:szCs w:val="28"/>
          <w:lang w:eastAsia="ru-RU"/>
        </w:rPr>
        <w:t>экспортоориентированной</w:t>
      </w:r>
      <w:proofErr w:type="spellEnd"/>
      <w:r w:rsidRPr="0069192E">
        <w:rPr>
          <w:rFonts w:cs="Times New Roman"/>
          <w:sz w:val="28"/>
          <w:szCs w:val="28"/>
          <w:lang w:eastAsia="ru-RU"/>
        </w:rPr>
        <w:t>, СЭЗ «Брест» играет большую роль и в наращивании экспортного потенциала региона. Внешнеторговый оборот в 2011 году составил 850 млн. дол. США (630 млн. EURO).</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Сегодня СЭЗ «Брест» один из основных «работодателей» Брестского региона: на предприятиях зоны трудится свыше 15 тыс. человек.</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Свободная экономическая зона «Витебск» – это часть территории Республики Беларусь с определенными границами, в пределах которой в отношении резидентов СЭЗ установлен и действует специальный правовой режим для осуществления ими инвестиционной и предпринимательской деятельности.</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 xml:space="preserve">По состоянию на 01.11.2012 на территории СЭЗ «Витебск» успешно осуществляются 56 инвестиционных проектов с участием капитала из следующих стран: </w:t>
      </w:r>
      <w:proofErr w:type="gramStart"/>
      <w:r w:rsidRPr="0069192E">
        <w:rPr>
          <w:rFonts w:cs="Times New Roman"/>
          <w:sz w:val="28"/>
          <w:szCs w:val="28"/>
          <w:lang w:eastAsia="ru-RU"/>
        </w:rPr>
        <w:t>Беларуси, Белиза, Болгарии, Великобритании, Германии, Израиля, Канады, Кипра, Латвии, Польши, России, США, Чехии и Эстонии.</w:t>
      </w:r>
      <w:proofErr w:type="gramEnd"/>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СЭЗ «</w:t>
      </w:r>
      <w:proofErr w:type="spellStart"/>
      <w:r w:rsidRPr="0069192E">
        <w:rPr>
          <w:rFonts w:cs="Times New Roman"/>
          <w:sz w:val="28"/>
          <w:szCs w:val="28"/>
          <w:lang w:eastAsia="ru-RU"/>
        </w:rPr>
        <w:t>Гродноинвест</w:t>
      </w:r>
      <w:proofErr w:type="spellEnd"/>
      <w:r w:rsidRPr="0069192E">
        <w:rPr>
          <w:rFonts w:cs="Times New Roman"/>
          <w:sz w:val="28"/>
          <w:szCs w:val="28"/>
          <w:lang w:eastAsia="ru-RU"/>
        </w:rPr>
        <w:t xml:space="preserve">» </w:t>
      </w:r>
      <w:proofErr w:type="gramStart"/>
      <w:r w:rsidRPr="0069192E">
        <w:rPr>
          <w:rFonts w:cs="Times New Roman"/>
          <w:sz w:val="28"/>
          <w:szCs w:val="28"/>
          <w:lang w:eastAsia="ru-RU"/>
        </w:rPr>
        <w:t>расположена</w:t>
      </w:r>
      <w:proofErr w:type="gramEnd"/>
      <w:r w:rsidRPr="0069192E">
        <w:rPr>
          <w:rFonts w:cs="Times New Roman"/>
          <w:sz w:val="28"/>
          <w:szCs w:val="28"/>
          <w:lang w:eastAsia="ru-RU"/>
        </w:rPr>
        <w:t xml:space="preserve"> в центральной части Европы, на границе с Евросоюзом.</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Для региона характерна разветвленная сеть автомобильных дорог для пассажирского и грузового сообщения со странами Европы и Азии. Функционируют железнодорожные пути с наличием западной и восточной железнодорожной колеи, международный аэропорт.</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В настоящий момент в СЭЗ «</w:t>
      </w:r>
      <w:proofErr w:type="spellStart"/>
      <w:r w:rsidRPr="0069192E">
        <w:rPr>
          <w:rFonts w:cs="Times New Roman"/>
          <w:sz w:val="28"/>
          <w:szCs w:val="28"/>
          <w:lang w:eastAsia="ru-RU"/>
        </w:rPr>
        <w:t>Гродноинвест</w:t>
      </w:r>
      <w:proofErr w:type="spellEnd"/>
      <w:r w:rsidRPr="0069192E">
        <w:rPr>
          <w:rFonts w:cs="Times New Roman"/>
          <w:sz w:val="28"/>
          <w:szCs w:val="28"/>
          <w:lang w:eastAsia="ru-RU"/>
        </w:rPr>
        <w:t>» действует 9</w:t>
      </w:r>
      <w:r w:rsidR="00F04DB1" w:rsidRPr="0069192E">
        <w:rPr>
          <w:rFonts w:cs="Times New Roman"/>
          <w:sz w:val="28"/>
          <w:szCs w:val="28"/>
          <w:lang w:eastAsia="ru-RU"/>
        </w:rPr>
        <w:t>2</w:t>
      </w:r>
      <w:r w:rsidRPr="0069192E">
        <w:rPr>
          <w:rFonts w:cs="Times New Roman"/>
          <w:sz w:val="28"/>
          <w:szCs w:val="28"/>
          <w:lang w:eastAsia="ru-RU"/>
        </w:rPr>
        <w:t xml:space="preserve"> резидента предприятий, где работает 16 500 человек.</w:t>
      </w:r>
      <w:r w:rsidR="00F04DB1" w:rsidRPr="0069192E">
        <w:rPr>
          <w:rFonts w:cs="Times New Roman"/>
          <w:sz w:val="28"/>
          <w:szCs w:val="28"/>
          <w:lang w:eastAsia="ru-RU"/>
        </w:rPr>
        <w:t xml:space="preserve"> </w:t>
      </w:r>
      <w:r w:rsidRPr="0069192E">
        <w:rPr>
          <w:rFonts w:cs="Times New Roman"/>
          <w:sz w:val="28"/>
          <w:szCs w:val="28"/>
          <w:lang w:eastAsia="ru-RU"/>
        </w:rPr>
        <w:t>За время своего функционирования СЭЗ «</w:t>
      </w:r>
      <w:proofErr w:type="spellStart"/>
      <w:r w:rsidRPr="0069192E">
        <w:rPr>
          <w:rFonts w:cs="Times New Roman"/>
          <w:sz w:val="28"/>
          <w:szCs w:val="28"/>
          <w:lang w:eastAsia="ru-RU"/>
        </w:rPr>
        <w:t>Гродноинвест</w:t>
      </w:r>
      <w:proofErr w:type="spellEnd"/>
      <w:r w:rsidRPr="0069192E">
        <w:rPr>
          <w:rFonts w:cs="Times New Roman"/>
          <w:sz w:val="28"/>
          <w:szCs w:val="28"/>
          <w:lang w:eastAsia="ru-RU"/>
        </w:rPr>
        <w:t>» привлечено 300 млн. евро инвестиций из 22 стран мира.</w:t>
      </w:r>
      <w:r w:rsidR="00F04DB1" w:rsidRPr="0069192E">
        <w:rPr>
          <w:rFonts w:cs="Times New Roman"/>
          <w:sz w:val="28"/>
          <w:szCs w:val="28"/>
          <w:lang w:eastAsia="ru-RU"/>
        </w:rPr>
        <w:t xml:space="preserve"> </w:t>
      </w:r>
      <w:r w:rsidRPr="0069192E">
        <w:rPr>
          <w:rFonts w:cs="Times New Roman"/>
          <w:sz w:val="28"/>
          <w:szCs w:val="28"/>
          <w:lang w:eastAsia="ru-RU"/>
        </w:rPr>
        <w:t>Окупаемость инвестиционных проектов, реализуемых в СЭЗ «</w:t>
      </w:r>
      <w:proofErr w:type="spellStart"/>
      <w:r w:rsidRPr="0069192E">
        <w:rPr>
          <w:rFonts w:cs="Times New Roman"/>
          <w:sz w:val="28"/>
          <w:szCs w:val="28"/>
          <w:lang w:eastAsia="ru-RU"/>
        </w:rPr>
        <w:t>Гродноинвест</w:t>
      </w:r>
      <w:proofErr w:type="spellEnd"/>
      <w:r w:rsidRPr="0069192E">
        <w:rPr>
          <w:rFonts w:cs="Times New Roman"/>
          <w:sz w:val="28"/>
          <w:szCs w:val="28"/>
          <w:lang w:eastAsia="ru-RU"/>
        </w:rPr>
        <w:t>» составляет от 2 до 2,5 лет.</w:t>
      </w:r>
      <w:r w:rsidR="00F04DB1" w:rsidRPr="0069192E">
        <w:rPr>
          <w:rFonts w:cs="Times New Roman"/>
          <w:sz w:val="28"/>
          <w:szCs w:val="28"/>
          <w:lang w:eastAsia="ru-RU"/>
        </w:rPr>
        <w:t xml:space="preserve"> </w:t>
      </w:r>
      <w:r w:rsidRPr="0069192E">
        <w:rPr>
          <w:rFonts w:cs="Times New Roman"/>
          <w:sz w:val="28"/>
          <w:szCs w:val="28"/>
          <w:lang w:eastAsia="ru-RU"/>
        </w:rPr>
        <w:t>Средняя рентабельность продукции - 24,1%.</w:t>
      </w:r>
      <w:r w:rsidR="00F04DB1" w:rsidRPr="0069192E">
        <w:rPr>
          <w:rFonts w:cs="Times New Roman"/>
          <w:sz w:val="28"/>
          <w:szCs w:val="28"/>
          <w:lang w:eastAsia="ru-RU"/>
        </w:rPr>
        <w:t xml:space="preserve"> </w:t>
      </w:r>
      <w:r w:rsidRPr="0069192E">
        <w:rPr>
          <w:rFonts w:cs="Times New Roman"/>
          <w:sz w:val="28"/>
          <w:szCs w:val="28"/>
          <w:lang w:eastAsia="ru-RU"/>
        </w:rPr>
        <w:t>Объем производства предприятий-резидентов СЭЗ «</w:t>
      </w:r>
      <w:proofErr w:type="spellStart"/>
      <w:r w:rsidRPr="0069192E">
        <w:rPr>
          <w:rFonts w:cs="Times New Roman"/>
          <w:sz w:val="28"/>
          <w:szCs w:val="28"/>
          <w:lang w:eastAsia="ru-RU"/>
        </w:rPr>
        <w:t>Гродноинвест</w:t>
      </w:r>
      <w:proofErr w:type="spellEnd"/>
      <w:r w:rsidRPr="0069192E">
        <w:rPr>
          <w:rFonts w:cs="Times New Roman"/>
          <w:sz w:val="28"/>
          <w:szCs w:val="28"/>
          <w:lang w:eastAsia="ru-RU"/>
        </w:rPr>
        <w:t>» составляет около 40 млн. евро в месяц.</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На территории СЭЗ «</w:t>
      </w:r>
      <w:proofErr w:type="spellStart"/>
      <w:r w:rsidRPr="0069192E">
        <w:rPr>
          <w:rFonts w:cs="Times New Roman"/>
          <w:sz w:val="28"/>
          <w:szCs w:val="28"/>
          <w:lang w:eastAsia="ru-RU"/>
        </w:rPr>
        <w:t>Гродноинвест</w:t>
      </w:r>
      <w:proofErr w:type="spellEnd"/>
      <w:r w:rsidRPr="0069192E">
        <w:rPr>
          <w:rFonts w:cs="Times New Roman"/>
          <w:sz w:val="28"/>
          <w:szCs w:val="28"/>
          <w:lang w:eastAsia="ru-RU"/>
        </w:rPr>
        <w:t>» установлен специальный правовой режим, который включает специальный налоговый и таможенный режимы.</w:t>
      </w:r>
      <w:r w:rsidR="00F04DB1" w:rsidRPr="0069192E">
        <w:rPr>
          <w:rFonts w:cs="Times New Roman"/>
          <w:sz w:val="28"/>
          <w:szCs w:val="28"/>
          <w:lang w:eastAsia="ru-RU"/>
        </w:rPr>
        <w:t xml:space="preserve"> </w:t>
      </w:r>
      <w:r w:rsidRPr="0069192E">
        <w:rPr>
          <w:rFonts w:cs="Times New Roman"/>
          <w:sz w:val="28"/>
          <w:szCs w:val="28"/>
          <w:lang w:eastAsia="ru-RU"/>
        </w:rPr>
        <w:t>Для предприятий-резидентов налоговая нагрузка уменьшается на 30%.</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Администрация СЭЗ «</w:t>
      </w:r>
      <w:proofErr w:type="spellStart"/>
      <w:r w:rsidRPr="0069192E">
        <w:rPr>
          <w:rFonts w:cs="Times New Roman"/>
          <w:sz w:val="28"/>
          <w:szCs w:val="28"/>
          <w:lang w:eastAsia="ru-RU"/>
        </w:rPr>
        <w:t>Гродноинвест</w:t>
      </w:r>
      <w:proofErr w:type="spellEnd"/>
      <w:r w:rsidRPr="0069192E">
        <w:rPr>
          <w:rFonts w:cs="Times New Roman"/>
          <w:sz w:val="28"/>
          <w:szCs w:val="28"/>
          <w:lang w:eastAsia="ru-RU"/>
        </w:rPr>
        <w:t xml:space="preserve">» окажет всестороннюю поддержку, в том числе при решении вопросов регистрации, что позволит, используя принцип «одного окна», пройти путь от идеи инвестиционного </w:t>
      </w:r>
      <w:r w:rsidRPr="0069192E">
        <w:rPr>
          <w:rFonts w:cs="Times New Roman"/>
          <w:sz w:val="28"/>
          <w:szCs w:val="28"/>
          <w:lang w:eastAsia="ru-RU"/>
        </w:rPr>
        <w:lastRenderedPageBreak/>
        <w:t>проекта до регистрации предприятия в качестве субъекта хозяйствования за 1 день, в ка</w:t>
      </w:r>
      <w:r w:rsidR="00F04DB1" w:rsidRPr="0069192E">
        <w:rPr>
          <w:rFonts w:cs="Times New Roman"/>
          <w:sz w:val="28"/>
          <w:szCs w:val="28"/>
          <w:lang w:eastAsia="ru-RU"/>
        </w:rPr>
        <w:t>честве резидента СЭЗ за 14 дней</w:t>
      </w:r>
      <w:r w:rsidRPr="0069192E">
        <w:rPr>
          <w:rFonts w:cs="Times New Roman"/>
          <w:sz w:val="28"/>
          <w:szCs w:val="28"/>
          <w:lang w:eastAsia="ru-RU"/>
        </w:rPr>
        <w:t>.</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СЭЗ «</w:t>
      </w:r>
      <w:proofErr w:type="spellStart"/>
      <w:r w:rsidRPr="0069192E">
        <w:rPr>
          <w:rFonts w:cs="Times New Roman"/>
          <w:sz w:val="28"/>
          <w:szCs w:val="28"/>
          <w:lang w:eastAsia="ru-RU"/>
        </w:rPr>
        <w:t>Гомель-Ратон</w:t>
      </w:r>
      <w:proofErr w:type="spellEnd"/>
      <w:r w:rsidRPr="0069192E">
        <w:rPr>
          <w:rFonts w:cs="Times New Roman"/>
          <w:sz w:val="28"/>
          <w:szCs w:val="28"/>
          <w:lang w:eastAsia="ru-RU"/>
        </w:rPr>
        <w:t xml:space="preserve">» сегодня </w:t>
      </w:r>
      <w:r w:rsidR="00AF4C73" w:rsidRPr="0069192E">
        <w:rPr>
          <w:rFonts w:cs="Times New Roman"/>
          <w:sz w:val="28"/>
          <w:szCs w:val="28"/>
          <w:lang w:eastAsia="ru-RU"/>
        </w:rPr>
        <w:t>–</w:t>
      </w:r>
      <w:r w:rsidRPr="0069192E">
        <w:rPr>
          <w:rFonts w:cs="Times New Roman"/>
          <w:sz w:val="28"/>
          <w:szCs w:val="28"/>
          <w:lang w:eastAsia="ru-RU"/>
        </w:rPr>
        <w:t xml:space="preserve"> это наличие высокотехнологичной базы предприятий радиоэлектроники, приборостроения, машиностроительной, электротехнической и кабельной промышленности. Причем предприятий, обладающих сегодня свободными производственными площадями, складскими помещениями, развитой инфраструктурой, полным комплексом инженерных коммуникаций. Резидент СЭЗ - зарегистрированное администрацией СЭЗ юридическое лицо или физическое лицо в качестве предпринимателя без образования юридического лица, на которое распространяется правовой режим, действующий в СЭЗ.</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По состоянию на 1 мая 2012 г. в реестрах регистрации резидентов СЭЗ «</w:t>
      </w:r>
      <w:proofErr w:type="spellStart"/>
      <w:r w:rsidRPr="0069192E">
        <w:rPr>
          <w:rFonts w:cs="Times New Roman"/>
          <w:sz w:val="28"/>
          <w:szCs w:val="28"/>
          <w:lang w:eastAsia="ru-RU"/>
        </w:rPr>
        <w:t>Гомель-Ратон</w:t>
      </w:r>
      <w:proofErr w:type="spellEnd"/>
      <w:r w:rsidRPr="0069192E">
        <w:rPr>
          <w:rFonts w:cs="Times New Roman"/>
          <w:sz w:val="28"/>
          <w:szCs w:val="28"/>
          <w:lang w:eastAsia="ru-RU"/>
        </w:rPr>
        <w:t>» находится 80 субъектов предпринимательской деятельности. Среди стран-партнеров зоны Лихтенштейн, Россия, Турция, Литва, Австрия, Чехия и др.</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В настоящее время в свободной экономическ</w:t>
      </w:r>
      <w:r w:rsidR="00AF4C73" w:rsidRPr="0069192E">
        <w:rPr>
          <w:rFonts w:cs="Times New Roman"/>
          <w:sz w:val="28"/>
          <w:szCs w:val="28"/>
          <w:lang w:eastAsia="ru-RU"/>
        </w:rPr>
        <w:t>ой зоне «Минск» работает более 143</w:t>
      </w:r>
      <w:r w:rsidRPr="0069192E">
        <w:rPr>
          <w:rFonts w:cs="Times New Roman"/>
          <w:sz w:val="28"/>
          <w:szCs w:val="28"/>
          <w:lang w:eastAsia="ru-RU"/>
        </w:rPr>
        <w:t xml:space="preserve"> предприятий-резидентов, из которых больше половины - предприятия с иностранным капиталом. В финансировании инвестиционных проектов резидентов СЭЗ «Минск» участвует капитал из 29 стран мира. Основными странами инвесторами являются Великобритания, Россия, США, Кипр, Германия. Основным направлением деятельности резидентов СЭЗ «Минск» является производство продукции машиностроения, развитие стройиндустрии, выпуск упаковки и средств энергосбережения. На эти отрасли приходится более 90% всей продукции, производимой в СЭЗ «Минск».</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На предприятиях СЭЗ внедрены современные технологии и оборудование, передовые методы и формы управления кадрами, производством и предприятием в целом. Все это обеспечивает высокое качество производимой продукции, повышает ее конкурентоспособность, что в свою очередь способствует увеличению доли экспорта, и расширяет его географию: резиденты СЭЗ «Минск» экспортируют товары собственного производства в более чем 38 стран мира.</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За весь период деятельности СЭЗ «Минск» предприятия-резиденты вложили в свое развитие более 900 млн. долларов США инвестиций.</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 xml:space="preserve">Свободная экономическая зона «Могилев» </w:t>
      </w:r>
      <w:r w:rsidR="00AF4C73" w:rsidRPr="0069192E">
        <w:rPr>
          <w:rFonts w:cs="Times New Roman"/>
          <w:sz w:val="28"/>
          <w:szCs w:val="28"/>
          <w:lang w:eastAsia="ru-RU"/>
        </w:rPr>
        <w:t>–</w:t>
      </w:r>
      <w:r w:rsidRPr="0069192E">
        <w:rPr>
          <w:rFonts w:cs="Times New Roman"/>
          <w:sz w:val="28"/>
          <w:szCs w:val="28"/>
          <w:lang w:eastAsia="ru-RU"/>
        </w:rPr>
        <w:t xml:space="preserve"> это часть территории Республики Беларусь с определенными границами, в пределах которой в отношении ее резидентов устанавливается и действует специальный правовой режим для осуществления ими инвестиционной и предпринимательской деятельности.</w:t>
      </w:r>
    </w:p>
    <w:p w:rsidR="00676D8F" w:rsidRPr="0069192E" w:rsidRDefault="00676D8F" w:rsidP="00B23561">
      <w:pPr>
        <w:pStyle w:val="a3"/>
        <w:ind w:firstLine="851"/>
        <w:jc w:val="both"/>
        <w:rPr>
          <w:rFonts w:cs="Times New Roman"/>
          <w:sz w:val="28"/>
          <w:szCs w:val="28"/>
          <w:lang w:eastAsia="ru-RU"/>
        </w:rPr>
      </w:pPr>
      <w:r w:rsidRPr="0069192E">
        <w:rPr>
          <w:rFonts w:cs="Times New Roman"/>
          <w:sz w:val="28"/>
          <w:szCs w:val="28"/>
          <w:lang w:eastAsia="ru-RU"/>
        </w:rPr>
        <w:t>За время существования СЭЗ накоплен большой опыт успешного сотрудничества с инвесторами из разных стран (в том числе Германии, Австрии, Дании, Турции, Литвы). Зарегистрировано 5</w:t>
      </w:r>
      <w:r w:rsidR="00AF4C73" w:rsidRPr="0069192E">
        <w:rPr>
          <w:rFonts w:cs="Times New Roman"/>
          <w:sz w:val="28"/>
          <w:szCs w:val="28"/>
          <w:lang w:eastAsia="ru-RU"/>
        </w:rPr>
        <w:t>4</w:t>
      </w:r>
      <w:r w:rsidRPr="0069192E">
        <w:rPr>
          <w:rFonts w:cs="Times New Roman"/>
          <w:sz w:val="28"/>
          <w:szCs w:val="28"/>
          <w:lang w:eastAsia="ru-RU"/>
        </w:rPr>
        <w:t xml:space="preserve"> предприяти</w:t>
      </w:r>
      <w:proofErr w:type="gramStart"/>
      <w:r w:rsidRPr="0069192E">
        <w:rPr>
          <w:rFonts w:cs="Times New Roman"/>
          <w:sz w:val="28"/>
          <w:szCs w:val="28"/>
          <w:lang w:eastAsia="ru-RU"/>
        </w:rPr>
        <w:t>я-</w:t>
      </w:r>
      <w:proofErr w:type="gramEnd"/>
      <w:r w:rsidRPr="0069192E">
        <w:rPr>
          <w:rFonts w:cs="Times New Roman"/>
          <w:sz w:val="28"/>
          <w:szCs w:val="28"/>
          <w:lang w:eastAsia="ru-RU"/>
        </w:rPr>
        <w:t xml:space="preserve"> резидента</w:t>
      </w:r>
      <w:r w:rsidR="00AF4C73" w:rsidRPr="0069192E">
        <w:rPr>
          <w:rFonts w:cs="Times New Roman"/>
          <w:sz w:val="28"/>
          <w:szCs w:val="28"/>
          <w:lang w:eastAsia="ru-RU"/>
        </w:rPr>
        <w:t xml:space="preserve"> [4]</w:t>
      </w:r>
      <w:r w:rsidRPr="0069192E">
        <w:rPr>
          <w:rFonts w:cs="Times New Roman"/>
          <w:sz w:val="28"/>
          <w:szCs w:val="28"/>
          <w:lang w:eastAsia="ru-RU"/>
        </w:rPr>
        <w:t>.</w:t>
      </w:r>
    </w:p>
    <w:p w:rsidR="00676D8F" w:rsidRPr="0069192E" w:rsidRDefault="00AF4C73" w:rsidP="00B23561">
      <w:pPr>
        <w:pStyle w:val="a3"/>
        <w:ind w:firstLine="851"/>
        <w:jc w:val="both"/>
        <w:rPr>
          <w:rFonts w:cs="Times New Roman"/>
          <w:sz w:val="28"/>
          <w:szCs w:val="28"/>
          <w:lang w:eastAsia="ru-RU"/>
        </w:rPr>
      </w:pPr>
      <w:r w:rsidRPr="0069192E">
        <w:rPr>
          <w:rFonts w:cs="Times New Roman"/>
          <w:sz w:val="28"/>
          <w:szCs w:val="28"/>
          <w:lang w:eastAsia="ru-RU"/>
        </w:rPr>
        <w:lastRenderedPageBreak/>
        <w:t>Таким образом, можно сделать вывод о том, что свободные экономические зоны являются важным фактором экономического роста и Республики Беларусь и ее интеграции в мирохозяйственные связи</w:t>
      </w:r>
      <w:r w:rsidR="00676D8F" w:rsidRPr="0069192E">
        <w:rPr>
          <w:rFonts w:cs="Times New Roman"/>
          <w:sz w:val="28"/>
          <w:szCs w:val="28"/>
          <w:lang w:eastAsia="ru-RU"/>
        </w:rPr>
        <w:t>.</w:t>
      </w:r>
    </w:p>
    <w:p w:rsidR="00AF4C73" w:rsidRPr="00D14D13" w:rsidRDefault="00AF4C73" w:rsidP="00B23561">
      <w:pPr>
        <w:pStyle w:val="a3"/>
        <w:ind w:firstLine="851"/>
        <w:jc w:val="both"/>
        <w:rPr>
          <w:rFonts w:eastAsia="Times New Roman" w:cs="Times New Roman"/>
          <w:color w:val="000000"/>
          <w:sz w:val="28"/>
          <w:szCs w:val="28"/>
          <w:lang w:eastAsia="ru-RU"/>
        </w:rPr>
      </w:pPr>
    </w:p>
    <w:p w:rsidR="00DD2CD8" w:rsidRPr="00D14D13" w:rsidRDefault="005845C3" w:rsidP="00B23561">
      <w:pPr>
        <w:pStyle w:val="a3"/>
        <w:ind w:firstLine="85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ЛИТЕРАТУРА</w:t>
      </w:r>
    </w:p>
    <w:p w:rsidR="00D14D13" w:rsidRPr="0069192E" w:rsidRDefault="00D14D13" w:rsidP="00B23561">
      <w:pPr>
        <w:pStyle w:val="a3"/>
        <w:ind w:firstLine="851"/>
        <w:jc w:val="both"/>
        <w:rPr>
          <w:rFonts w:eastAsia="Times New Roman" w:cs="Times New Roman"/>
          <w:b/>
          <w:color w:val="000000"/>
          <w:sz w:val="28"/>
          <w:szCs w:val="28"/>
          <w:lang w:eastAsia="ru-RU"/>
        </w:rPr>
      </w:pPr>
    </w:p>
    <w:p w:rsidR="00DD2CD8" w:rsidRPr="0069192E" w:rsidRDefault="00DD2CD8" w:rsidP="00B23561">
      <w:pPr>
        <w:pStyle w:val="a3"/>
        <w:ind w:firstLine="851"/>
        <w:jc w:val="both"/>
        <w:rPr>
          <w:rFonts w:cs="Times New Roman"/>
          <w:sz w:val="28"/>
          <w:szCs w:val="28"/>
        </w:rPr>
      </w:pPr>
      <w:r w:rsidRPr="0069192E">
        <w:rPr>
          <w:rFonts w:eastAsia="Times New Roman" w:cs="Times New Roman"/>
          <w:color w:val="000000"/>
          <w:sz w:val="28"/>
          <w:szCs w:val="28"/>
          <w:lang w:eastAsia="ru-RU"/>
        </w:rPr>
        <w:t>1.</w:t>
      </w:r>
      <w:r w:rsidRPr="0069192E">
        <w:rPr>
          <w:rFonts w:cs="Times New Roman"/>
          <w:sz w:val="28"/>
          <w:szCs w:val="28"/>
        </w:rPr>
        <w:t xml:space="preserve"> Закон Республики Беларусь «О свободных экономических зонах» от 7 декабря 1998 года [Электронный ресурс] </w:t>
      </w:r>
      <w:r w:rsidR="00D14D13" w:rsidRPr="0069192E">
        <w:rPr>
          <w:rFonts w:cs="Times New Roman"/>
          <w:sz w:val="28"/>
          <w:szCs w:val="28"/>
        </w:rPr>
        <w:t>–</w:t>
      </w:r>
      <w:bookmarkStart w:id="0" w:name="_GoBack"/>
      <w:bookmarkEnd w:id="0"/>
      <w:r w:rsidRPr="0069192E">
        <w:rPr>
          <w:rFonts w:cs="Times New Roman"/>
          <w:sz w:val="28"/>
          <w:szCs w:val="28"/>
        </w:rPr>
        <w:t xml:space="preserve"> Доступ- [http://www.pravo.by/main.aspx?guid=3871&amp;p2=2/739]. </w:t>
      </w:r>
    </w:p>
    <w:p w:rsidR="00DD2CD8" w:rsidRPr="0069192E" w:rsidRDefault="00DD2CD8" w:rsidP="00B23561">
      <w:pPr>
        <w:pStyle w:val="a3"/>
        <w:ind w:firstLine="851"/>
        <w:jc w:val="both"/>
        <w:rPr>
          <w:rFonts w:cs="Times New Roman"/>
          <w:sz w:val="28"/>
          <w:szCs w:val="28"/>
        </w:rPr>
      </w:pPr>
      <w:r w:rsidRPr="0069192E">
        <w:rPr>
          <w:rFonts w:cs="Times New Roman"/>
          <w:sz w:val="28"/>
          <w:szCs w:val="28"/>
        </w:rPr>
        <w:t>2. Соболенко, И. А. Конкуре</w:t>
      </w:r>
      <w:r w:rsidR="00D14D13">
        <w:rPr>
          <w:rFonts w:cs="Times New Roman"/>
          <w:sz w:val="28"/>
          <w:szCs w:val="28"/>
        </w:rPr>
        <w:t>нтная среда в условиях СЭЗ / И.</w:t>
      </w:r>
      <w:r w:rsidRPr="0069192E">
        <w:rPr>
          <w:rFonts w:cs="Times New Roman"/>
          <w:sz w:val="28"/>
          <w:szCs w:val="28"/>
        </w:rPr>
        <w:t>А. Соболенко. Минск, 2004. – 144 с.</w:t>
      </w:r>
    </w:p>
    <w:p w:rsidR="00DD2CD8" w:rsidRPr="0069192E" w:rsidRDefault="00DD2CD8" w:rsidP="00B23561">
      <w:pPr>
        <w:pStyle w:val="a3"/>
        <w:ind w:firstLine="851"/>
        <w:jc w:val="both"/>
        <w:rPr>
          <w:rFonts w:cs="Times New Roman"/>
          <w:sz w:val="28"/>
          <w:szCs w:val="28"/>
        </w:rPr>
      </w:pPr>
      <w:r w:rsidRPr="0069192E">
        <w:rPr>
          <w:rFonts w:cs="Times New Roman"/>
          <w:sz w:val="28"/>
          <w:szCs w:val="28"/>
        </w:rPr>
        <w:t xml:space="preserve">3. Дайнеко, А. Е. Геоэкономические приоритеты Республики Беларусь / И. А. Соболенко. Минск: </w:t>
      </w:r>
      <w:proofErr w:type="spellStart"/>
      <w:r w:rsidRPr="0069192E">
        <w:rPr>
          <w:rFonts w:cs="Times New Roman"/>
          <w:sz w:val="28"/>
          <w:szCs w:val="28"/>
        </w:rPr>
        <w:t>Беларуская</w:t>
      </w:r>
      <w:proofErr w:type="spellEnd"/>
      <w:r w:rsidRPr="0069192E">
        <w:rPr>
          <w:rFonts w:cs="Times New Roman"/>
          <w:sz w:val="28"/>
          <w:szCs w:val="28"/>
        </w:rPr>
        <w:t xml:space="preserve"> </w:t>
      </w:r>
      <w:proofErr w:type="spellStart"/>
      <w:r w:rsidRPr="0069192E">
        <w:rPr>
          <w:rFonts w:cs="Times New Roman"/>
          <w:sz w:val="28"/>
          <w:szCs w:val="28"/>
        </w:rPr>
        <w:t>навука</w:t>
      </w:r>
      <w:proofErr w:type="spellEnd"/>
      <w:r w:rsidRPr="0069192E">
        <w:rPr>
          <w:rFonts w:cs="Times New Roman"/>
          <w:sz w:val="28"/>
          <w:szCs w:val="28"/>
        </w:rPr>
        <w:t>, 2011. – 364 с.</w:t>
      </w:r>
    </w:p>
    <w:p w:rsidR="0065458B" w:rsidRPr="0069192E" w:rsidRDefault="00DD2CD8" w:rsidP="00B23561">
      <w:pPr>
        <w:pStyle w:val="a3"/>
        <w:ind w:firstLine="851"/>
        <w:jc w:val="both"/>
        <w:rPr>
          <w:rFonts w:cs="Times New Roman"/>
          <w:sz w:val="28"/>
          <w:szCs w:val="28"/>
        </w:rPr>
      </w:pPr>
      <w:r w:rsidRPr="0069192E">
        <w:rPr>
          <w:rFonts w:cs="Times New Roman"/>
          <w:sz w:val="28"/>
          <w:szCs w:val="28"/>
        </w:rPr>
        <w:t xml:space="preserve">4. Особые (свободные) экономические зоны в Беларуси  [Электронный ресурс] </w:t>
      </w:r>
      <w:r w:rsidR="00D14D13" w:rsidRPr="0069192E">
        <w:rPr>
          <w:rFonts w:cs="Times New Roman"/>
          <w:sz w:val="28"/>
          <w:szCs w:val="28"/>
        </w:rPr>
        <w:t>–</w:t>
      </w:r>
      <w:r w:rsidRPr="0069192E">
        <w:rPr>
          <w:rFonts w:cs="Times New Roman"/>
          <w:sz w:val="28"/>
          <w:szCs w:val="28"/>
        </w:rPr>
        <w:t xml:space="preserve"> Доступ</w:t>
      </w:r>
      <w:r w:rsidR="00D14D13">
        <w:rPr>
          <w:rFonts w:cs="Times New Roman"/>
          <w:sz w:val="28"/>
          <w:szCs w:val="28"/>
        </w:rPr>
        <w:t xml:space="preserve"> </w:t>
      </w:r>
      <w:r w:rsidR="00D14D13" w:rsidRPr="0069192E">
        <w:rPr>
          <w:rFonts w:cs="Times New Roman"/>
          <w:sz w:val="28"/>
          <w:szCs w:val="28"/>
        </w:rPr>
        <w:t>–</w:t>
      </w:r>
      <w:r w:rsidRPr="0069192E">
        <w:rPr>
          <w:rFonts w:cs="Times New Roman"/>
          <w:sz w:val="28"/>
          <w:szCs w:val="28"/>
        </w:rPr>
        <w:t xml:space="preserve"> [http://newinspire.ru/lektsii-po-mirovoy-ekonomike/osobie-svobodnie-ekonomicheskie-zoni-v-belarusi-1690].</w:t>
      </w:r>
    </w:p>
    <w:sectPr w:rsidR="0065458B" w:rsidRPr="0069192E" w:rsidSect="00DD2CD8">
      <w:pgSz w:w="11907" w:h="16839" w:code="9"/>
      <w:pgMar w:top="1134" w:right="850" w:bottom="1134" w:left="1701" w:header="720" w:footer="720" w:gutter="0"/>
      <w:cols w:space="720"/>
      <w:noEndnote/>
      <w:docGrid w:linePitch="16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61"/>
  <w:displayHorizontalDrawingGridEvery w:val="2"/>
  <w:characterSpacingControl w:val="doNotCompress"/>
  <w:compat/>
  <w:rsids>
    <w:rsidRoot w:val="00B72483"/>
    <w:rsid w:val="00004408"/>
    <w:rsid w:val="000D7A7A"/>
    <w:rsid w:val="003079F8"/>
    <w:rsid w:val="00312233"/>
    <w:rsid w:val="00393B3F"/>
    <w:rsid w:val="004D75D4"/>
    <w:rsid w:val="005845C3"/>
    <w:rsid w:val="005A19D6"/>
    <w:rsid w:val="0061227B"/>
    <w:rsid w:val="0065458B"/>
    <w:rsid w:val="00676D8F"/>
    <w:rsid w:val="0069192E"/>
    <w:rsid w:val="00A25A5E"/>
    <w:rsid w:val="00AC32DF"/>
    <w:rsid w:val="00AF4C73"/>
    <w:rsid w:val="00B23561"/>
    <w:rsid w:val="00B72483"/>
    <w:rsid w:val="00D14D13"/>
    <w:rsid w:val="00D877D5"/>
    <w:rsid w:val="00D960E4"/>
    <w:rsid w:val="00DB1B34"/>
    <w:rsid w:val="00DD2CD8"/>
    <w:rsid w:val="00E223D7"/>
    <w:rsid w:val="00F04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u w:color="8DB3E2" w:themeColor="text2" w:themeTint="6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0E4"/>
    <w:pPr>
      <w:spacing w:after="0" w:line="240" w:lineRule="auto"/>
    </w:pPr>
  </w:style>
  <w:style w:type="table" w:styleId="a4">
    <w:name w:val="Table Grid"/>
    <w:basedOn w:val="a1"/>
    <w:uiPriority w:val="59"/>
    <w:rsid w:val="00DD2C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DD2CD8"/>
    <w:rPr>
      <w:b/>
      <w:bCs/>
    </w:rPr>
  </w:style>
  <w:style w:type="character" w:customStyle="1" w:styleId="apple-converted-space">
    <w:name w:val="apple-converted-space"/>
    <w:basedOn w:val="a0"/>
    <w:rsid w:val="00DD2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1191</Words>
  <Characters>6791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deynejenko</cp:lastModifiedBy>
  <cp:revision>15</cp:revision>
  <dcterms:created xsi:type="dcterms:W3CDTF">2014-05-18T22:47:00Z</dcterms:created>
  <dcterms:modified xsi:type="dcterms:W3CDTF">2014-06-09T09:17:00Z</dcterms:modified>
</cp:coreProperties>
</file>