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B3" w:rsidRPr="00A122D7" w:rsidRDefault="00495FB3" w:rsidP="00495FB3">
      <w:pPr>
        <w:pStyle w:val="a3"/>
        <w:outlineLvl w:val="0"/>
      </w:pPr>
      <w:bookmarkStart w:id="0" w:name="_Toc360295394"/>
      <w:bookmarkStart w:id="1" w:name="_Toc360297339"/>
      <w:bookmarkStart w:id="2" w:name="_Toc360299219"/>
      <w:r w:rsidRPr="00A122D7">
        <w:t>ОСОБЕННОСТИ ФУНКЦИОНИРОВАНИЯ ЭРГОУРБОНИМОВ С ИНОЯЗЫЧНЫМИ КОМПОНЕНТАМИ (НА ПРИМЕРЕ НАЗВАНИЙ ВНУТРИГОРОДСКИХ ОБЪЕКТОВ МИНСКА)</w:t>
      </w:r>
      <w:bookmarkEnd w:id="0"/>
      <w:bookmarkEnd w:id="1"/>
      <w:bookmarkEnd w:id="2"/>
    </w:p>
    <w:p w:rsidR="00495FB3" w:rsidRPr="00A122D7" w:rsidRDefault="00495FB3" w:rsidP="00495FB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Тихоненко Е.В.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 конце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– начале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веков наметилась тенденция 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 для внутригородских объектов иноязычных наименований. Данная тенденция вполне оправдана в связи с глобализацией общества, расширением политических связей и развитием внешней политики, географическим положением Беларуси. Употребление иноязычных наименований напрямую зависит от расположения объекта в городе. Наиболее часто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иноязычные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урбанонимы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встречаются в центре. Это не случайно. Центр столицы должен соответствовать мировым стандартам, в том числе и с точки зрения языкового оформления вывесок. С другой стороны, излишнее насаждение иноязычной лексики 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очарованность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английскими словами негативно влияет на национальный облик столицы независимого государства.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Среди иностранных языков самым продуктивным при наименовании городских объектов стал английский язык, который встречается в номинациях объектов и торговли, и общественного питания, и сферы услуг: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гипермаркеты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Prostore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Biggz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магазины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Respect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Mother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Care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Okey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Basta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Adidas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Sela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Sacsh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Carlo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Pazolini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Baden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Tom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Tailor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Ives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Rocher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  салон красоты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Princess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солярии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Suntime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Sunlight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Sunflower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Sun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city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фитнес-центры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Energy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Sportlife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Mega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Fitness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GalaSport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химчистки</w:t>
      </w:r>
      <w:proofErr w:type="gram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«</w:t>
      </w:r>
      <w:proofErr w:type="spellStart"/>
      <w:proofErr w:type="gram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Clining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masters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Clean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@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dry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 и др.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Французский и итальянский языки заняли определенные ниши в номинациях внутригородских объектов соответственно представлениям русскоязычных людей о Франции и Италии. В общественном сознании Франция предстает своеобразной империей красоты, моды, стиля, изящества, а Париж – воплощением прекрасного. Соответственно французский язык или транслитерация французских слов используется для наименования салонов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красоты и парикмахерских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Ma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Cherie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Dessange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Paris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«Куафюр»,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Летуаль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Бонжур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Жеталь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«Делакруа»,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ДеВалль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Шадэ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 и др.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Италия знаменита своей национальной кухней, соответственно итальянский язык популярен в номинациях объектов питания: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пиццерии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Il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Patio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Pizza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Zio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pepe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O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Sole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Mio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».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Одной из ярких черт наименований внутригородских объектов является сосуществование на одной вывеске внутри одного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эргоурбонимичного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комплекса разных языков. Практически все иноязычные наименования содержат при себе русскоязычный номенклатурный термин: 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гипермаркеты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Prostore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Expobel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Globo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Biggz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 магазины обуви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Respect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O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’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key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фитнес-клубы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Favourite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Refle</w:t>
      </w:r>
      <w:proofErr w:type="spellEnd"/>
      <w:proofErr w:type="gram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х</w:t>
      </w:r>
      <w:proofErr w:type="gram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 солярии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Sunlight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Suncity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Suntime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 ночной клуб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Next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рестораны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Empire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 и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Dolce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Vita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кафе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Star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 и мн. др.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Отметим, что объекты гостиничного бизнеса, предназначенные для иностранных гостей, часто имеют транслитерированные вывески (английский, русский, белорусский языки):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отель «Европа»  – 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hotel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Europe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proofErr w:type="gram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гасц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ініца</w:t>
      </w:r>
      <w:proofErr w:type="gramEnd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Мінск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– гостиница «Минск» –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hotel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Minsk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 и др.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Многие иноязычные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эргоурбонимы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имеют в своей структуре 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подноминацию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раскрывающую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денотат: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Domus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Gallery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Галерея мебели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Luval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С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толовая посуда» и др.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Фиксация номенклатурного термина на русском языке, а непосредственно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эргоурбонима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– на иностранном логически обоснована: иностранное название выполняет рекламную функцию, а номенклатурный термин определяет профиль объекта на родном языке потребителя.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Важным условием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имятворчества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грамотное и адекватное использование иноязычной лексики. Иноязычные названия при перенесении из одного языка в другой, использующий иную систему письменности, могут иметь следующие виды фиксации: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–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транслитерация;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–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транскрипция;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–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смысловой перевод.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Также возможны их различные комбинации.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Транслитерация – формальное побуквенное воссоздание исходной единицы с помощью алфавита переводящего языка; буквенная имитация формы исходного слова. Под транскрипцией  понимают передачу звуков или начертаний языка системой знаков, отличных от принятых в этом языке письменных единиц. Транскрибированные имена собственные наряду с остальными реалиями являются теми немногими элементами перевода, которые сохраняют определенное национальное своеобразие в своей словесной звуковой форме. При переводе с русского языка надо особенно внимательно относиться к именам иностранного происхождения, транскрибированным по-русски. В этом случае следует стремиться восстановить орфографию имени на том языке, из которого оно происходит.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 русском языке уже широко распространились неправильные с точки зрения правил транскрипции с восточных языков варианты названия японских и корейских корпораций: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Toshiba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- Тошиба (правильно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Тосиба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Hitachi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Хитачи (правильно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Хитати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Samsung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Самсунг (правильно Самсон) и др. Эти лингвистически некорректные названия уже приняты и самими этими компаниями на отечественном рынке, поэтому в ряде случаев приходится считать их уже устоявшимися «традиционными» соответствиями и использовать в дальнейшем.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Общих правил передачи 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эргоурбонимов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не выработано, в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связи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 чем у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номинаторов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возникают определенные трудности.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Номинатору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разрешается самостоятельно выбирать, следует ли делать перевод названия. Профессиональный лингвистический контроль данного процесса при регистрации названия отсутствует. Поэтому система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минских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эргоурбонимов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характеризуется неустойчивостью, расшатанностью, нелогичностью. Основными проблемами при передаче иноязычных названий являются ошибки при транскрибировании, некорректно выбранный способ фиксации.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Иностранное слово, даже будучи записанным кириллицей, остается иностранным словом и не теряет своего национального колорита: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Бонжур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»,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Жеталь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».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Вызывают сомнения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траслитерированное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название салона красоты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Бонжур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».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В русском языке звук [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ж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]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твердый, во французском аналог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ичный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звук произносится мягко.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Слова «жюри», «брошюра», «парашют», отклоняясь от орфографических правил русского языка, передают звуковые особенности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французскогом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языка. На наш взгляд, для названия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Бонжур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целесообразно избрать такой способ передачи иноязычных лексем, как транскрипция, а не транслитерация и иметь фиксацию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Бонжюр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».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эргоурбонимах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Минска зафиксированы разночтения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при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передачи английской литеры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Бебика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(от англ.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Baby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 и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БэбиЛэнд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baby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land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эргоурбонимиконе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Минска существуют и белорусские наименования, переданные средствами русского языка: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кафе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Сузорье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».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 виду того, что русский и белорусский языки являются близкородственными и имеют один вариант письменности, варианты транскрипции и транслитерации в подобных названиях неприемлемы.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Рассмотрим примеры неудачного выбора способа перенесения собственных имен из одного языка в другой. Иноязычное название торгового объекта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Mother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care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вызывает затруднения в произношении русских/белорусских людей, не владеющих английским, т.к. их артикуляционный аппарат не знает некоторых английских звуков. В данном случае в качестве наименования торгового объекта  представляется разумным употреблять кальку с английского, например,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«Мамина забота»,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что для сознания русскоязычного человека привычнее и приятнее для слуха. 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Увлеченность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иноязычными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названия привело к существованию ряда неудачных, на наш взгляд, названий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ЧиккенФуд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«Паркинг», «Стар»,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Бодитюнинг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Бьютифри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Боди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Сан»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 др. Для тех, кто не знает иностранных языков, транслитерированные названия не информативны. Лица, владеющие иностранными языками, понимают транслитерацию, но не принимают такого способа написания.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Кроме того, в названии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ЧиккенФуд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(англ.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chicken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food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 вызывает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сомнение грамотность употребления данного словосочетания (с англ.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chicken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food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– куриная еда). Более правильным, по нашему мнению, является название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gram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proofErr w:type="spellStart"/>
      <w:proofErr w:type="gramEnd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hicken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products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(с англ. продукты из курицы, куриные продукты).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Название торгового центра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«Паркинг»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 переводе с английского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parking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 –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парковка, стоянка. Паркинг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это место, где можно оставить свой автомобиль, а не место для покупок.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Еще один неудачный пример иноязычного названия – магазин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«Стар»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. Вывеска магазина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«Стар»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сделана в форме горящей звезды. Это дает основание считать название транслитерированным от английского  слова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star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(«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звезда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»).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Однако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 русском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языке есть омонимичное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слово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стар</w:t>
      </w:r>
      <w:proofErr w:type="gram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краткое прилагательное, вызывающее ненужные для торгового объекта ассоциации.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Названия объектов, предлагающие товары всем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ирно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известных брендов и торговых марок вправе использовать все традиционные способы перенесения собственных имен из одного языка в другой, использующий иную систему письменности. Названия такого рода могут использовать такой вид письменной фиксации, как графический перенос (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салоны одежды «А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didas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Sela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Sacsh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Mustang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Hugo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Boss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 и </w:t>
      </w:r>
      <w:proofErr w:type="spellStart"/>
      <w:proofErr w:type="gram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др</w:t>
      </w:r>
      <w:proofErr w:type="spellEnd"/>
      <w:proofErr w:type="gram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)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транслитерацию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(Магазин французской косметики «Ив Роше»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имеет дублетное название на русском, французском и белорусском языках).  Многие белорусские производители используют транслитерированные названия с целью расширения рынка и продвижения своего товара: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«М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ілавіца – 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Milavitsa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,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«Горизонт – </w:t>
      </w: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Horizont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 и др. 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проблема перевода в ономастике стоит достаточно остро и нуждается в разработке общих правил по русской /белорусской передаче иноязычных названий.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Предлагаем некоторые рекомендации: 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1. Выбор способа передачи иноязычного названия должен из функции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эргоурбонима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. Если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номинатор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ставит целью рекламировать само имя, идентифицировать его на международном рынке,  избираются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транслитерация или транскрипция. При популяризации смысла деятельности объекта, при наличии «говорящей» внутренней формы наименование должно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переводится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2. Зарегистрированные бренды и торговые марки транслитерируются или сохраняют графику родного языка.</w:t>
      </w:r>
    </w:p>
    <w:p w:rsidR="00495FB3" w:rsidRPr="00A122D7" w:rsidRDefault="00495FB3" w:rsidP="00495F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Эргоурбонимы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в основе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лежит английское слово или словосочетание с прозрачной внутренней формой, не должны русифицироваться.</w:t>
      </w:r>
    </w:p>
    <w:p w:rsidR="00B7585B" w:rsidRDefault="00B7585B">
      <w:bookmarkStart w:id="3" w:name="_GoBack"/>
      <w:bookmarkEnd w:id="3"/>
    </w:p>
    <w:sectPr w:rsidR="00B7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B3"/>
    <w:rsid w:val="00495FB3"/>
    <w:rsid w:val="00B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B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F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 Знак5"/>
    <w:basedOn w:val="a"/>
    <w:next w:val="a"/>
    <w:rsid w:val="00495FB3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3">
    <w:name w:val="Ст для"/>
    <w:basedOn w:val="4"/>
    <w:link w:val="a4"/>
    <w:qFormat/>
    <w:rsid w:val="00495FB3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4">
    <w:name w:val="Ст для Знак"/>
    <w:basedOn w:val="40"/>
    <w:link w:val="a3"/>
    <w:rsid w:val="00495FB3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5F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B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F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 Знак5"/>
    <w:basedOn w:val="a"/>
    <w:next w:val="a"/>
    <w:rsid w:val="00495FB3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3">
    <w:name w:val="Ст для"/>
    <w:basedOn w:val="4"/>
    <w:link w:val="a4"/>
    <w:qFormat/>
    <w:rsid w:val="00495FB3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4">
    <w:name w:val="Ст для Знак"/>
    <w:basedOn w:val="40"/>
    <w:link w:val="a3"/>
    <w:rsid w:val="00495FB3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5F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2013-10-18T12:05:00Z</dcterms:created>
  <dcterms:modified xsi:type="dcterms:W3CDTF">2013-10-18T12:06:00Z</dcterms:modified>
</cp:coreProperties>
</file>