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5"/>
        <w:shd w:fill="FFFFFF" w:val="clear"/>
        <w:spacing w:after="0" w:before="0"/>
        <w:ind w:firstLine="6820" w:left="300" w:right="20"/>
        <w:contextualSpacing w:val="false"/>
      </w:pPr>
      <w:r>
        <w:rPr>
          <w:rStyle w:val="style21"/>
          <w:lang w:val="be-BY"/>
        </w:rPr>
        <w:t xml:space="preserve">Ганна Шваба </w:t>
      </w:r>
      <w:r>
        <w:rPr>
          <w:lang w:val="be-BY"/>
        </w:rPr>
        <w:t>ФУНКЦЫЯНАЛЬНАЯ РОЛЯ СВЯТОЧНАЙ РЭЧЫЎНАЙ АТРЫБУТЫКІ Ў ЗАХАДАХ ПА АБАРОНЕ СУПРАЦЬ НЕГАТЫЎНЫХ НАСТУПСТВАЎ НАВАЛЬНІЦЫ, ГРОМУ І МАЛАНКІ</w:t>
      </w:r>
    </w:p>
    <w:p>
      <w:pPr>
        <w:pStyle w:val="style35"/>
        <w:shd w:fill="FFFFFF" w:val="clear"/>
        <w:spacing w:after="0" w:before="0"/>
        <w:ind w:firstLine="6820" w:left="300" w:right="20"/>
        <w:contextualSpacing w:val="false"/>
      </w:pPr>
      <w:r>
        <w:rPr/>
      </w:r>
    </w:p>
    <w:p>
      <w:pPr>
        <w:pStyle w:val="style34"/>
        <w:shd w:fill="FFFFFF" w:val="clear"/>
        <w:spacing w:after="0" w:before="0"/>
        <w:ind w:firstLine="300" w:left="20" w:right="20"/>
        <w:contextualSpacing w:val="false"/>
      </w:pPr>
      <w:r>
        <w:rPr>
          <w:rStyle w:val="style22"/>
          <w:lang w:val="be-BY"/>
        </w:rPr>
        <w:t>Пасля хрысціянізацыі многія рэлігійныя святы былі прымеркаваны да старажытных народных свят, таму часта яны адзначаюцца ў адзін і той жа дзень. Праваслаўнымі і каталікамі рэлігійныя святы адзначаюцца па розных календарах (адпаведна: па юліянскім і грыгарыянскім), што вызначае розніцу паміж датамі ў 13 дзён. Разгледзім магчымасці выкарыстання адпаведнай рэчыўнай атрыбутыкі (на прыкладзе найбольш значных свят веснавога цыклу (Грамніц, Вербніцы, Вялікадня). У хрысціянскай традыцыі свята Грамніцы (Стрэчанне Гасподне) - сустрэча старца Сімеона з Ісусам Хрыстом, якога на саракавы ад нараджэння дзень прынеслі ў храм Багародзіца і св. Іосіф, сустрэча Старога і Новага Запаветаў (каталікамі адзначаецца 2-га, а праваслаўнымі - 15-га лютага). Асноўным рытуалам на Грамніцы з'яўляецца асвячэнне ў храмах васковых свечак (грамніц), якія, паводле народных уяўленняў, надзяляліся прафілактычна-апатрапеічнай (ахоўнай) сілай, што была здольна супрацьстаяць негатыўным наступствам прыродных стыхій, у прыватнасці, навальніцы, грому і маланкі: напрыклад, падпальвалі пасмачкі валасоў «спераду, ззаду, справа і злева накрэст, шоб грому не баяліся» [3, 79]. Увогуле, «агонь грамнічнай свечкі прыраўноўваўся да жывога агню, атрыманага ад маланкі ці шляхам трэння двух кавалкаў дрэва адзін аб адзін» [1, 358</w:t>
        <w:t>359]. «Звычайна запальваюць асвечаную свечку перад абразом &lt;...&gt; і чытаюць адпаведныя малітвы» [3, 79], прычым, «не з мэтаю непасрэдна адвесці перуна, а супраць д'ябла, які, уцякаючы ад перуновай стралы, можа схавацца ў хаце і падвесці гаспадара і сям'ю да згу бы ў момант расправы Іллі з нячыстай сілай» [3, 79].</w:t>
      </w:r>
    </w:p>
    <w:p>
      <w:pPr>
        <w:pStyle w:val="style34"/>
        <w:shd w:fill="FFFFFF" w:val="clear"/>
        <w:spacing w:after="0" w:before="0"/>
        <w:ind w:firstLine="280" w:left="20" w:right="20"/>
        <w:contextualSpacing w:val="false"/>
      </w:pPr>
      <w:r>
        <w:rPr>
          <w:rStyle w:val="style22"/>
          <w:lang w:val="be-BY"/>
        </w:rPr>
        <w:t>Покуць - «найбольш сакралізаваная частка хаты, якая ўвасабляе «сваю», замкнёную прастору і адасабляе яе ад «чужога», знешняга, не засвоенага чалавекам свету» [2, 352]. На высокі семіятычны статус покуці ўказваюць абразы (выявы Хрыста, Багародзіцы, святых (апекуна вёскі ці св. Іллі (з прыняццем хрысціянства ўяўленне аб функцыі і атрыбутах язычніцкага Перуна перайшлі да старажытназапаветнага прарока)), за якімі размяшчаліся грамнічная свечка, асвечаныя вярба, зёлкі i кветкі, хлеб («хлеб святой Агаты бароніць ад пажару» [*1]), таму покуць з'яўляецца «дзейсным каналам камунікацыі паміж людзьмі і сферай сакральнага, «боскага» [2, 352]. Другім сакральным месцам (што суадносілася з паняццем язычніцкага пачатку) была печка, якая ўтварала з покуццю дыяганаль. Печ сімвалізавала непагасны хатні ачаг, з'яўлялася неад'емнай часткай каляндарных і сямейных абрадаў. Праваднікамі паміж асвоенай чалавекам прасторай і светам прыроды лічыліся пячныя комін і ўюшка, праз якія нячыстая сіла, хаваючыся ад пакарання, можа патрапіць у дом, ствараючы патэнцыяльную пагрозу маёмасці і жыццю чалавека. Таму ў народзе бытавала практыка спальвання асвячоных вярбы і траў, напрыклад, «каб Бог адвярнуў удар ад дому ў час навальніцы, трэба пакласці на распаленае вуголле асвячонай &lt;...&gt; травы» [3, 73], «спаліўшы ў печы трохі асвечаных зёлак, закрыць уюшкі» [3, 74] ці «як надыходзіць вялікая хмара, а хто-небудзь адчыніць комін да закурыць на прыпеку свянцонае зелле, то хмара паверне ўбок і дажджу не будзе» [3, 74].</w:t>
      </w:r>
    </w:p>
    <w:p>
      <w:pPr>
        <w:pStyle w:val="style34"/>
        <w:shd w:fill="FFFFFF" w:val="clear"/>
        <w:spacing w:after="0" w:before="0"/>
        <w:ind w:firstLine="280" w:left="20" w:right="20"/>
        <w:contextualSpacing w:val="false"/>
      </w:pPr>
      <w:r>
        <w:rPr>
          <w:rStyle w:val="style22"/>
          <w:lang w:val="be-BY"/>
        </w:rPr>
        <w:t>Акно - частка хаты, якая, як покуць і печ, рэалізуецца праз апазіцыі вонкавы - унутраны, бачны - нябачны. Акно - вока дома, як сонца - вока неба: абодва з'яўляюцца носьбітамі святла. «Як сільна грыміць - усе свечанае &lt;...&gt; на акно заткнуць» [3, 75], або «пры падыходзе навальніцы ці набліжэнні небяспечнай хмары вербны пучок ці ставіцца на падаконнік у бок навальніцы і хмары, ці выстаўляецца на знешнім баку акна, каб адагнаць хмару і навальніцу» [3, 75].</w:t>
      </w:r>
    </w:p>
    <w:p>
      <w:pPr>
        <w:pStyle w:val="style34"/>
        <w:shd w:fill="FFFFFF" w:val="clear"/>
        <w:spacing w:after="0" w:before="0"/>
        <w:ind w:firstLine="280" w:left="0" w:right="20"/>
        <w:contextualSpacing w:val="false"/>
      </w:pPr>
      <w:r>
        <w:rPr>
          <w:rStyle w:val="style22"/>
          <w:lang w:val="be-BY"/>
        </w:rPr>
        <w:t>Вербніца (Пальмавая нядзеля) - апошняя нядзеля перад Вялікаднем, калі хрысціяне адзначаюць з'яўленне Ісуса Хрыста ў Іерусаліме, якому натоўп слаў пад ногі пальмавыя галінкі. У гэты дзень у храмах асвячаюць вярбу, якая ў нашых кліматычных умовах першай распускаецца з надыходам вясны. Для прафілактыкі боязні навальніц «у час першага веснавога грому з'ядаецца адна пупышка ці кончык вербнага прутка» [3, 75]. Грамнічная свечка таксама магла выстаўляцца на падаконніку (як паведаміла інфарматар С. В. Копач («падчас грому выстаўляюць на вакно грамнічную свечку» [*1])).</w:t>
      </w:r>
    </w:p>
    <w:p>
      <w:pPr>
        <w:pStyle w:val="style34"/>
        <w:shd w:fill="FFFFFF" w:val="clear"/>
        <w:spacing w:after="0" w:before="0"/>
        <w:ind w:firstLine="280" w:left="0" w:right="20"/>
        <w:contextualSpacing w:val="false"/>
      </w:pPr>
      <w:r>
        <w:rPr>
          <w:rStyle w:val="style22"/>
          <w:lang w:val="be-BY"/>
        </w:rPr>
        <w:t>Таксама вельмі важным элементам хаты з'яўляюцца дзверы, якія рэгламентуюць уваход-выхад, з'яўляюцца мяжой паміж асвоенай прасторай і наваколлем. Засцерагчы хату ад удару маланкі можна было таксама «выпальваючы посля свята грамнічнай свечкай крыж над уваходам адразу за дзвярыма</w:t>
      </w:r>
      <w:r>
        <w:rPr>
          <w:rStyle w:val="style17"/>
          <w:lang w:val="be-BY"/>
        </w:rPr>
        <w:t xml:space="preserve"> (галоўнымі ў жылой частцы хаты - аўт.)» </w:t>
      </w:r>
      <w:r>
        <w:rPr>
          <w:rStyle w:val="style22"/>
          <w:lang w:val="be-BY"/>
        </w:rPr>
        <w:t>[*1]. Вялікдзень (Пасха) - «вялікае старажытнае свята ў гонар сонца, вясны, абуджэння прыроды і надыходу земляробчага сезона» [1, 259]. Самае галоўнае свята хрысціянства, якое не мела б сэнсу без уваскрашэння ўкрыжаванага Хрыста. Атрыбутам Вялікадня з'яўляецца фарбаванае ў чырвоны колер яйка - сімвал крыві Хрыста, пралітай у адкупленне чалавечых грахоў. Але ў разгледжаным намі фактычным матэрыяле не сустракаецца выкарыстанне велікоднага яйка як сродку супраць негатыўных наступстваў навальніцы, грому і маланкі. Мелі месца магічна-рытуальныя дзеянні з абрусам з велікоднага стала, які выкарыстоўвалі наступным чынам: «У вялікую буру і грымоты трэба вынесці на падворак абрус, на каторым ксёндз свенціў на Вялікдзень, і тым абрусам перажагнаць хмару на ўсе чатыры стораны света, то яна на чатыры часці расступіцца» [3, 76], або «трэба курыць купальным зеллем, а яшчэ лепш вывесіць на плоце абрус ад велікоднага стала - ён нібыта ахоўвае ад удару грому» [3, 75-76], таму «абруса велікоднага не мыюць да восені, пакуль грымоты не мінуцца» [3, 76].</w:t>
      </w:r>
    </w:p>
    <w:p>
      <w:pPr>
        <w:pStyle w:val="style34"/>
        <w:shd w:fill="FFFFFF" w:val="clear"/>
        <w:spacing w:after="0" w:before="0"/>
        <w:ind w:firstLine="280" w:left="0" w:right="20"/>
        <w:contextualSpacing w:val="false"/>
      </w:pPr>
      <w:r>
        <w:rPr>
          <w:rStyle w:val="style22"/>
          <w:lang w:val="be-BY"/>
        </w:rPr>
        <w:t>Прафілактычнае выкарыстанне святочнай рэчыўнай атрыбутыкі Грамніц, Вербніцы, Вялікадня ў абароне супраць негатыўных наступстваў стыхіі ўключала шэраг магічна-рытуальных захадаў. Прыналежнасць рэчыўнай атрыбутыкі да пэўнага свята ў разглядаемым намі фактычным матэрыяле як удакладняецца, так і не акцэнтуецца. Народнай свядомасці характэрна вера ў набыццё прадметамі магічных уласцівасцей (і захаванне гэтых уласцівасцей на працягу года ад свята да свята, што робіць магчымым іх выкарыстанне пры першай патрэбе ў любы іншы час) у пэўныя пераломныя моманты гадавога каляндарнага цыклу (трэба таксама ўлічваць той факт, што з прыняццем хрысціянства</w:t>
      </w:r>
    </w:p>
    <w:p>
      <w:pPr>
        <w:pStyle w:val="style34"/>
        <w:shd w:fill="FFFFFF" w:val="clear"/>
        <w:spacing w:after="0" w:before="0"/>
        <w:ind w:hanging="0" w:left="20" w:right="0"/>
        <w:contextualSpacing w:val="false"/>
        <w:jc w:val="left"/>
      </w:pPr>
      <w:r>
        <w:rPr>
          <w:rStyle w:val="style22"/>
          <w:lang w:val="be-BY"/>
        </w:rPr>
        <w:t>адбылося напластаванне царкоўных свят на язычніцкія).</w:t>
      </w:r>
    </w:p>
    <w:p>
      <w:pPr>
        <w:pStyle w:val="style34"/>
        <w:shd w:fill="FFFFFF" w:val="clear"/>
        <w:spacing w:after="0" w:before="0"/>
        <w:ind w:firstLine="300" w:left="20" w:right="20"/>
        <w:contextualSpacing w:val="false"/>
      </w:pPr>
      <w:r>
        <w:rPr>
          <w:rStyle w:val="style22"/>
          <w:lang w:val="be-BY"/>
        </w:rPr>
        <w:t>Для павелічэння сілы ўздзеяння магічных уласцівасцей святочнай рэчыўнай атрыбутыкі мела месца правядзенне магічна-рытуальных дзеянняў у дачыненні да покуці, печкі, акна - локусаў, якія маркіруюцца як прыналежнасць да чалавечай культуры (гэтыя локусы маглі суадносіцца з паняццем хрысціянскага (покуць) і язычніцкага (печ) пачаткаў). З разгледжанага матэрыялу вынікае, што мела месца як актыўная («захрэшчванне» хмары, запальванне грамнічнай свечкі, прыпальванне валасоў на галаве, спальванне асвячоных траў, з'яданне пупышкі з вербнага прутка), так і пасіўная (вынас на двор велікоднага настольніка, размяшчэнне вярбы на акне) абарона.</w:t>
      </w:r>
    </w:p>
    <w:p>
      <w:pPr>
        <w:pStyle w:val="style0"/>
        <w:keepNext/>
        <w:keepLines/>
        <w:ind w:hanging="0" w:left="3580" w:right="0"/>
      </w:pPr>
      <w:bookmarkStart w:id="0" w:name="bookmark38"/>
      <w:bookmarkEnd w:id="0"/>
      <w:r>
        <w:rPr>
          <w:rStyle w:val="style26"/>
          <w:rFonts w:cs="Calibri"/>
          <w:lang w:val="be-BY"/>
        </w:rPr>
        <w:t>ЛІТАРАТУРА:</w:t>
      </w:r>
    </w:p>
    <w:p>
      <w:pPr>
        <w:pStyle w:val="style0"/>
        <w:numPr>
          <w:ilvl w:val="0"/>
          <w:numId w:val="1"/>
        </w:numPr>
        <w:tabs>
          <w:tab w:leader="none" w:pos="1291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27"/>
          <w:rFonts w:cs="Calibri"/>
          <w:lang w:val="be-BY"/>
        </w:rPr>
        <w:t>Беларускі фальклор: энцыклапедыя: у 2 т. Т. 1 / рэдкал.: Г. Пашкоў (гал. рэд.) [і інш.]. - Мінск : БелЭн, 2006.</w:t>
      </w:r>
    </w:p>
    <w:p>
      <w:pPr>
        <w:pStyle w:val="style0"/>
        <w:numPr>
          <w:ilvl w:val="0"/>
          <w:numId w:val="1"/>
        </w:numPr>
        <w:tabs>
          <w:tab w:leader="none" w:pos="1320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27"/>
          <w:rFonts w:cs="Calibri"/>
          <w:lang w:val="be-BY"/>
        </w:rPr>
        <w:t>Беларускі фальклор: энцыклапедыя: у 2 т. Т. 2 / рэдкал.: Г. Пашкоў (гал. рэд.) [і інш.]. - Мінск : БелЭн, 2006.</w:t>
      </w:r>
    </w:p>
    <w:p>
      <w:pPr>
        <w:pStyle w:val="style0"/>
        <w:numPr>
          <w:ilvl w:val="0"/>
          <w:numId w:val="1"/>
        </w:numPr>
        <w:tabs>
          <w:tab w:leader="none" w:pos="1315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27"/>
          <w:rFonts w:cs="Calibri"/>
          <w:lang w:val="be-BY"/>
        </w:rPr>
        <w:t>Зямля стаіць пасярод свету... Беларускія народныя прыкметы і павер' і: у 3 кн. / укл. У. Васілевіч. - Мінск : Маст. літ., 1996. - Кн. 1.</w:t>
      </w:r>
    </w:p>
    <w:p>
      <w:pPr>
        <w:pStyle w:val="style0"/>
        <w:numPr>
          <w:ilvl w:val="0"/>
          <w:numId w:val="1"/>
        </w:numPr>
        <w:tabs>
          <w:tab w:leader="none" w:pos="1306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19"/>
          <w:rFonts w:cs="Calibri"/>
          <w:lang w:val="be-BY"/>
        </w:rPr>
        <w:t>Ліс, А.</w:t>
      </w:r>
      <w:r>
        <w:rPr>
          <w:rStyle w:val="style27"/>
          <w:rFonts w:cs="Calibri"/>
          <w:lang w:val="be-BY"/>
        </w:rPr>
        <w:t xml:space="preserve"> Веснавы перыяд народнага календара / А. Ліс, В. Шарая, У. Сівіцкі // Беларускі фальклор: Жанры, віды, паэтыка: у 6 кн. - Мінск : Беларуская навука, 2001. - Кн. 1: Каляндарна-абрадавая паэзія / А. Ліс [і інш.]; навук. рэд. А. Фядосік.</w:t>
      </w:r>
    </w:p>
    <w:p>
      <w:pPr>
        <w:pStyle w:val="style0"/>
        <w:numPr>
          <w:ilvl w:val="0"/>
          <w:numId w:val="1"/>
        </w:numPr>
        <w:tabs>
          <w:tab w:leader="none" w:pos="1296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19"/>
          <w:rFonts w:cs="Calibri"/>
          <w:lang w:val="be-BY"/>
        </w:rPr>
        <w:t>Лозка, Ю.</w:t>
      </w:r>
      <w:r>
        <w:rPr>
          <w:rStyle w:val="style27"/>
          <w:rFonts w:cs="Calibri"/>
          <w:lang w:val="be-BY"/>
        </w:rPr>
        <w:t xml:space="preserve"> Беларускі народны каляндар / А. Лозка. - 2-е выд., перапрац. і дап. - Мінск : Полымя, 2002.</w:t>
      </w:r>
    </w:p>
    <w:p>
      <w:pPr>
        <w:pStyle w:val="style0"/>
        <w:numPr>
          <w:ilvl w:val="0"/>
          <w:numId w:val="1"/>
        </w:numPr>
        <w:tabs>
          <w:tab w:leader="none" w:pos="1320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27"/>
          <w:rFonts w:cs="Calibri"/>
          <w:lang w:val="be-BY"/>
        </w:rPr>
        <w:t>Славянская мифология: энциклопед. словарь / редкол.: С. Толстая (отв. ред.) [и др]. - изд. 2-е, исправл. и дополн. - М. : Междунар. отношения, 2002.</w:t>
      </w:r>
    </w:p>
    <w:p>
      <w:pPr>
        <w:pStyle w:val="style0"/>
        <w:numPr>
          <w:ilvl w:val="0"/>
          <w:numId w:val="1"/>
        </w:numPr>
        <w:tabs>
          <w:tab w:leader="none" w:pos="1325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19"/>
          <w:rFonts w:cs="Calibri"/>
          <w:lang w:val="be-BY"/>
        </w:rPr>
        <w:t>Толстые, Н. и С.</w:t>
      </w:r>
      <w:r>
        <w:rPr>
          <w:rStyle w:val="style27"/>
          <w:rFonts w:cs="Calibri"/>
          <w:lang w:val="be-BY"/>
        </w:rPr>
        <w:t xml:space="preserve"> Заметки по славянскому язычеству. Первый гром в Полесье. Защита от града в Полесье / Н. и С. Толстые // Обряды и обрядовый фольклор / отв. ред. В. Соколова. - М. : Наука, 1982. - С. 49</w:t>
        <w:t>83.</w:t>
      </w:r>
    </w:p>
    <w:p>
      <w:pPr>
        <w:pStyle w:val="style0"/>
        <w:numPr>
          <w:ilvl w:val="0"/>
          <w:numId w:val="1"/>
        </w:numPr>
        <w:tabs>
          <w:tab w:leader="none" w:pos="1296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19"/>
          <w:rFonts w:cs="Calibri"/>
          <w:lang w:val="be-BY"/>
        </w:rPr>
        <w:t>Шамякіна, Т.</w:t>
      </w:r>
      <w:r>
        <w:rPr>
          <w:rStyle w:val="style27"/>
          <w:rFonts w:cs="Calibri"/>
          <w:lang w:val="be-BY"/>
        </w:rPr>
        <w:t xml:space="preserve"> Язычніцтва і хрысціянства ў каляндарнай абраднасці беларусаў // Міфалогія Беларусі: нарысы / Т. Шамякіна. - Мінск : Маст. літ., 2000. - С. 64-69.</w:t>
      </w:r>
    </w:p>
    <w:p>
      <w:pPr>
        <w:pStyle w:val="style0"/>
        <w:numPr>
          <w:ilvl w:val="0"/>
          <w:numId w:val="1"/>
        </w:numPr>
        <w:tabs>
          <w:tab w:leader="none" w:pos="1301" w:val="left"/>
        </w:tabs>
        <w:spacing w:after="0" w:before="0" w:line="298" w:lineRule="exact"/>
        <w:ind w:hanging="360" w:left="660" w:right="20"/>
        <w:contextualSpacing w:val="false"/>
        <w:jc w:val="both"/>
      </w:pPr>
      <w:r>
        <w:rPr>
          <w:rStyle w:val="style19"/>
          <w:rFonts w:cs="Calibri"/>
          <w:lang w:val="be-BY"/>
        </w:rPr>
        <w:t>Шамякіна, Т.</w:t>
      </w:r>
      <w:r>
        <w:rPr>
          <w:rStyle w:val="style27"/>
          <w:rFonts w:cs="Calibri"/>
          <w:lang w:val="be-BY"/>
        </w:rPr>
        <w:t xml:space="preserve"> Міфалагема Дома ў славянскай культуры // Славянская міфалогія: курс лекцый для студэнтаў-філолагаў / Т. Шамякіна. - Мінск : РІВШ, 2005. - С. 139-150.</w:t>
      </w:r>
    </w:p>
    <w:p>
      <w:pPr>
        <w:pStyle w:val="style0"/>
        <w:keepNext/>
        <w:keepLines/>
        <w:ind w:hanging="0" w:left="3580" w:right="0"/>
      </w:pPr>
      <w:bookmarkStart w:id="1" w:name="bookmark39"/>
      <w:bookmarkEnd w:id="1"/>
      <w:r>
        <w:rPr>
          <w:rStyle w:val="style26"/>
          <w:rFonts w:cs="Calibri"/>
          <w:lang w:val="be-BY"/>
        </w:rPr>
        <w:t>ІНФАРМАТАРЫ</w:t>
      </w:r>
    </w:p>
    <w:p>
      <w:pPr>
        <w:pStyle w:val="style0"/>
        <w:spacing w:line="298" w:lineRule="exact"/>
        <w:ind w:firstLine="300" w:left="20" w:right="20"/>
      </w:pPr>
      <w:r>
        <w:rPr>
          <w:rStyle w:val="style27"/>
          <w:rFonts w:cs="Calibri"/>
          <w:lang w:val="be-BY"/>
        </w:rPr>
        <w:t>*1. Запісана ад Копач Стэфаніды Вацлаваўны, 1926 г. н., в. Пагараны Ваўкавыскага раёна Гродзенскай вобласці.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_"/>
    <w:basedOn w:val="style15"/>
    <w:next w:val="style16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17" w:type="character">
    <w:name w:val="Основной текст + Курсив"/>
    <w:basedOn w:val="style16"/>
    <w:next w:val="style17"/>
    <w:rPr>
      <w:rFonts w:ascii="Times New Roman" w:cs="Times New Roman" w:eastAsia="Times New Roman" w:hAnsi="Times New Roman"/>
      <w:i/>
      <w:iCs/>
      <w:sz w:val="28"/>
      <w:szCs w:val="28"/>
      <w:shd w:fill="FFFFFF" w:val="clear"/>
    </w:rPr>
  </w:style>
  <w:style w:styleId="style18" w:type="character">
    <w:name w:val="Основной текст (3)_"/>
    <w:basedOn w:val="style15"/>
    <w:next w:val="style1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styleId="style19" w:type="character">
    <w:name w:val="Основной текст (3) + 14 pt;Курсив"/>
    <w:basedOn w:val="style18"/>
    <w:next w:val="style19"/>
    <w:rPr>
      <w:rFonts w:ascii="Times New Roman" w:cs="Times New Roman" w:eastAsia="Times New Roman" w:hAnsi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8"/>
      <w:szCs w:val="28"/>
    </w:rPr>
  </w:style>
  <w:style w:styleId="style20" w:type="character">
    <w:name w:val="Основной текст (5)_"/>
    <w:basedOn w:val="style15"/>
    <w:next w:val="style20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21" w:type="character">
    <w:name w:val="Основной текст (5) + Не полужирный;Курсив"/>
    <w:basedOn w:val="style20"/>
    <w:next w:val="style21"/>
    <w:rPr>
      <w:rFonts w:ascii="Times New Roman" w:cs="Times New Roman" w:eastAsia="Times New Roman" w:hAnsi="Times New Roman"/>
      <w:b/>
      <w:bCs/>
      <w:i/>
      <w:iCs/>
      <w:sz w:val="28"/>
      <w:szCs w:val="28"/>
      <w:shd w:fill="FFFFFF" w:val="clear"/>
    </w:rPr>
  </w:style>
  <w:style w:styleId="style22" w:type="character">
    <w:name w:val="Основной текст8"/>
    <w:basedOn w:val="style16"/>
    <w:next w:val="style22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23" w:type="character">
    <w:name w:val="Заголовок №3_"/>
    <w:basedOn w:val="style15"/>
    <w:next w:val="style23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lang w:val="be-BY"/>
    </w:rPr>
  </w:style>
  <w:style w:styleId="style24" w:type="character">
    <w:name w:val="Основной текст (7)_"/>
    <w:basedOn w:val="style15"/>
    <w:next w:val="style2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styleId="style25" w:type="character">
    <w:name w:val="Основной текст (7)"/>
    <w:basedOn w:val="style24"/>
    <w:next w:val="style25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  <w:lang w:val="en-US"/>
    </w:rPr>
  </w:style>
  <w:style w:styleId="style26" w:type="character">
    <w:name w:val="Заголовок №3"/>
    <w:basedOn w:val="style23"/>
    <w:next w:val="style2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  <w:lang w:val="be-BY"/>
    </w:rPr>
  </w:style>
  <w:style w:styleId="style27" w:type="character">
    <w:name w:val="Основной текст (3)"/>
    <w:basedOn w:val="style18"/>
    <w:next w:val="style27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styleId="style28" w:type="character">
    <w:name w:val="ListLabel 1"/>
    <w:next w:val="style28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Основной текст11"/>
    <w:basedOn w:val="style0"/>
    <w:next w:val="style34"/>
    <w:pPr>
      <w:shd w:fill="FFFFFF" w:val="clear"/>
      <w:spacing w:after="0" w:before="300" w:line="322" w:lineRule="exact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35" w:type="paragraph">
    <w:name w:val="Основной текст (5)"/>
    <w:basedOn w:val="style0"/>
    <w:next w:val="style35"/>
    <w:pPr>
      <w:shd w:fill="FFFFFF" w:val="clear"/>
      <w:spacing w:after="240" w:before="600" w:line="322" w:lineRule="exact"/>
      <w:ind w:firstLine="6100" w:left="0" w:right="0"/>
      <w:contextualSpacing w:val="false"/>
    </w:pPr>
    <w:rPr>
      <w:rFonts w:ascii="Times New Roman" w:cs="Times New Roman" w:eastAsia="Times New Roman" w:hAnsi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2012-11-23T11:06:00.00Z</dcterms:created>
  <dc:creator>Admin</dc:creator>
  <cp:lastModifiedBy>Admin</cp:lastModifiedBy>
  <dcterms:modified xsi:type="dcterms:W3CDTF">2012-11-23T11:07:00.00Z</dcterms:modified>
  <cp:revision>1</cp:revision>
</cp:coreProperties>
</file>