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6E" w:rsidRPr="004C09CF" w:rsidRDefault="0010086E" w:rsidP="0010086E">
      <w:pPr>
        <w:pStyle w:val="2"/>
        <w:rPr>
          <w:lang w:val="be-BY"/>
        </w:rPr>
      </w:pPr>
      <w:bookmarkStart w:id="0" w:name="_Toc442863852"/>
      <w:r w:rsidRPr="004C09CF">
        <w:rPr>
          <w:lang w:val="be-BY"/>
        </w:rPr>
        <w:t>ХУДОЖЕСТВЕННАЯ ЛИТЕРАТУРА КАК ИСТОЧНИК</w:t>
      </w:r>
      <w:bookmarkEnd w:id="0"/>
      <w:r w:rsidRPr="004C09CF">
        <w:rPr>
          <w:lang w:val="be-BY"/>
        </w:rPr>
        <w:t xml:space="preserve"> </w:t>
      </w:r>
    </w:p>
    <w:p w:rsidR="0010086E" w:rsidRPr="004C09CF" w:rsidRDefault="0010086E" w:rsidP="0010086E">
      <w:pPr>
        <w:pStyle w:val="2"/>
      </w:pPr>
      <w:bookmarkStart w:id="1" w:name="_Toc442863853"/>
      <w:r w:rsidRPr="004C09CF">
        <w:rPr>
          <w:lang w:val="be-BY"/>
        </w:rPr>
        <w:t>ФОРМИРОВАНИЯ СОЦИОКУЛЬТУРНОЙ КОМПЕТЕНЦИИ</w:t>
      </w:r>
      <w:bookmarkEnd w:id="1"/>
      <w:r w:rsidRPr="004C09CF">
        <w:rPr>
          <w:lang w:val="be-BY"/>
        </w:rPr>
        <w:t xml:space="preserve"> </w:t>
      </w:r>
      <w:bookmarkStart w:id="2" w:name="_Toc442863854"/>
      <w:r w:rsidRPr="004C09CF">
        <w:rPr>
          <w:lang w:val="be-BY"/>
        </w:rPr>
        <w:t>(из опыта работы)</w:t>
      </w:r>
      <w:bookmarkEnd w:id="2"/>
    </w:p>
    <w:p w:rsidR="0010086E" w:rsidRPr="004C09CF" w:rsidRDefault="0010086E" w:rsidP="0010086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10086E" w:rsidRPr="004C09CF" w:rsidRDefault="0010086E" w:rsidP="0010086E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Л. А. Зайцева, Н. В. </w:t>
      </w:r>
      <w:proofErr w:type="spellStart"/>
      <w:r w:rsidRPr="004C09C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Ерчинская</w:t>
      </w:r>
      <w:proofErr w:type="spellEnd"/>
      <w:r w:rsidRPr="004C09C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10086E" w:rsidRPr="004C09CF" w:rsidRDefault="0010086E" w:rsidP="0010086E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(Белорусский государственный университет)</w:t>
      </w:r>
    </w:p>
    <w:p w:rsidR="0010086E" w:rsidRPr="004C09CF" w:rsidRDefault="0010086E" w:rsidP="0010086E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Современная теория обучения иностранным языкам включает процесс изучения языка в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социокультурную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парадигму. Целью обучения иностранному языку (русскому как иностранному) выступает формирование компетенции межкультурного общения [4, с.78]. Проблема адаптации иностранных студентов к новому социуму остается  актуальной  для всего периода  пребывания в Беларуси. </w:t>
      </w:r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Важными источниками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социокультурной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информации для иностранных слушателей являются, помимо занятий в аудитории, общение с белорусскими друзьями, телевидение, периодическая печать, Интернет, радио. У слушателей гуманитарного профиля обучения в этой градации немаловажное место занимает и художественная литература. Одним из обязательных предметов в группах гуманитарного профиля на факультете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доуниверситетского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образования является «Русская литература», которая также выступает в качестве проводника культуры.</w:t>
      </w:r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>В интерпретации литературного художественного произведения (текста) ведущую роль играет «культурный фактор». Именно он является предпосылкой формирования фоновых знаний, без которых невозможно глубокое восприятие художественного произведения. Культурная ситуация каждой страны неповторима и имеет множество нюансов, неизвестных для носителей другой культуры. Недаром в науке широкое распространение получил метод использования языковых данных для оценки и сравнения культур, а также отражения культурных признаков в языке.</w:t>
      </w:r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>К интересным наблюдениям пришли исследователи. По мнению многих культурологов, культура Запада, как индивидуалистическая, глобально противопоставлена культуре Востока, как коллективистской. Если для западноевропейской цивилизации свойственно приспособление к себе окружающей среды, выдвижение личности, индивида на первый план, то для коллективистских культур характерно снижение значимости личности в пользу коллектива, общества, государства.</w:t>
      </w:r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С этой проблемой культур и языков общающихся народов связана идея языкового и культурного релятивизма (отрицание возможности постичь до конца язык и культуру другого народа). Отблески такого релятивизма иногда приходится наблюдать и на занятиях по русской литературе. Правда, такой релятивизм не носит антагонистического характера, скорее способствует интересному разговору в области восприятия элементов другой культуры. Так, например, в китайской аудитории определенное отчуждение вызывает образ Анны Карениной, женщины, приносящей в жертву свою семью ради права любить и быть любимой. Такое эмансипированное поведение не вызывает внутреннего сочувствия у китайцев, которые на протяжении веков воспитывались под воздействием конфуцианской системы ценностей: долг перед обществом, перед семьей заставляет человека обуздывать свои страсти и желания. </w:t>
      </w:r>
      <w:proofErr w:type="gramStart"/>
      <w:r w:rsidRPr="004C09CF">
        <w:rPr>
          <w:rFonts w:ascii="Times New Roman" w:eastAsia="Times New Roman" w:hAnsi="Times New Roman" w:cs="Times New Roman"/>
          <w:sz w:val="20"/>
          <w:szCs w:val="20"/>
        </w:rPr>
        <w:t>(Одно из положений учения Конфуция сводится к следующему: семья является прототипом любой общественной организации.</w:t>
      </w:r>
      <w:proofErr w:type="gram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Мы все не личности, а члены какой-нибудь группы). </w:t>
      </w:r>
      <w:proofErr w:type="gramEnd"/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Проявление элементов культурного релятивизма можно наблюдать и при интерпретации образа «маленького человека» в русской литературе. </w:t>
      </w:r>
      <w:proofErr w:type="gramStart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Так, воспринимая адекватно образ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Башмачкина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в «Шинели» Гоголя, сочувствуя ему и соглашаясь с Гоголем, в том что «маленького человека» надо жалеть и защищать, китайцы, однако, не сразу соглашаются с критической оценкой другого «маленького человека» −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Червякова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(«Смерть чиновника» Чехова).</w:t>
      </w:r>
      <w:proofErr w:type="gram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Они не торопятся смеяться над Червяковым, </w:t>
      </w:r>
      <w:proofErr w:type="gramStart"/>
      <w:r w:rsidRPr="004C09CF">
        <w:rPr>
          <w:rFonts w:ascii="Times New Roman" w:eastAsia="Times New Roman" w:hAnsi="Times New Roman" w:cs="Times New Roman"/>
          <w:sz w:val="20"/>
          <w:szCs w:val="20"/>
        </w:rPr>
        <w:t>который</w:t>
      </w:r>
      <w:proofErr w:type="gram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умер от страха перед высоким чином. По их мнению,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Червякова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можно скорее пожалеть, ведь согласно представлениям конфуцианства, на неравенстве и чинопочитании между людьми базируется стабильность общества, где основу этичного поведения составляют соподчиненные взаимоотношения: правитель – подданный, отец – сын и т.д.</w:t>
      </w:r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На этих примерах отчетливо видно, как национальное представление оказывает интерферирующее влияние на восприятие художественного образа или какого-либо другого культурного феномена. </w:t>
      </w:r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лингвокультурологии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для обозначения основной ее единицы используются понятия «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культурема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>», «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лингвокультурема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>» [4, с. 80]. Это единицы языка разных уровней, представляющие собой слова и понятия с национально-культурной семантикой, которые входят в состав национально-культурной парадигмы данного этноса.</w:t>
      </w:r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В работе над художественным текстом на занятиях по русской литературе рассматриваются и анализируются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культуремы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лингвокультуремы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, отражающие особенности определенного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социокультурного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периода в развитии нации, которые неизвестны или непонятны иностранному слушателю. </w:t>
      </w:r>
      <w:proofErr w:type="gramStart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Например, монголо-татарское иго, крепостное право, «маленький» человек, говорящая фамилия, «в людях» «запрещенные писатели» «возвращенная литература», эпоха перестройки и др. К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лингвокультуремам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относятся также пословицы, поговорки,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фраземы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>, афоризмы русских писателей, отражающие национальный менталитет, которыми так изобилует русская литература:</w:t>
      </w:r>
      <w:proofErr w:type="gram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C09CF">
        <w:rPr>
          <w:rFonts w:ascii="Times New Roman" w:eastAsia="Times New Roman" w:hAnsi="Times New Roman" w:cs="Times New Roman"/>
          <w:sz w:val="20"/>
          <w:szCs w:val="20"/>
        </w:rPr>
        <w:t>«Книга – лучший друг человека» (Горький), «В человеке должно быть все прекрасно: и лицо, и одежда, и душа, и мысли» (Чехов), «Мир спасет красота» (Достоевский) и т.д.</w:t>
      </w:r>
      <w:proofErr w:type="gramEnd"/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Восприятие и осознание учащимися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лингвокультурем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способствует формированию фоновых знаний в работе над художественным текстом, помогает выработке умений употреблять их в речи в соответствующей ситуации и активно общаться с носителями языка.</w:t>
      </w:r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Именно с учетом вышеназванных принципов формирования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социокультурной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компетенции на кафедре РКИ было создано учебное пособие «Русская литература Х</w:t>
      </w:r>
      <w:proofErr w:type="gramStart"/>
      <w:r w:rsidRPr="004C09CF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4C09CF">
        <w:rPr>
          <w:rFonts w:ascii="Times New Roman" w:eastAsia="Times New Roman" w:hAnsi="Times New Roman" w:cs="Times New Roman"/>
          <w:sz w:val="20"/>
          <w:szCs w:val="20"/>
        </w:rPr>
        <w:t>Х-ХХ вв. для иностранных слушателей». В пособии довольно объемно приводятся фоновые историко-культурные сведения, с которыми представители иной культуры  абсолютно  незнакомы</w:t>
      </w:r>
      <w:proofErr w:type="gramStart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В учебном пособии выдерживается принцип возрастания сложности как лексико-грамматического, так и собственно дидактического материала. Начальные разделы «Введение», «Литература </w:t>
      </w:r>
      <w:proofErr w:type="gramStart"/>
      <w:r w:rsidRPr="004C09CF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gram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VIII в.» соответствуют элементарному уровню владения языком. Учебный материал раздела «Литература ХIХ в.» соотносится с базовым уровнем, а «Литература ХХ в.» подводит </w:t>
      </w:r>
      <w:proofErr w:type="gramStart"/>
      <w:r w:rsidRPr="004C09CF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к достижению первого сертификационного уровня владения языком.</w:t>
      </w:r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Материал пособия предоставляет возможность для организации самостоятельной работы слушателей (поиск заданной информации, создание библиографии творчества писателя, составление обзорных сообщений по теме и т.п.). Благодаря наличию дополнительной, избыточной информации пособие сможет выполнять и роль справочника, так называемой мини-энциклопедии как для студента, так и для преподавателя, способствуя формированию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лингвокультурологической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 компетенции  иностранных слушателей</w:t>
      </w:r>
      <w:proofErr w:type="gramStart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>Таким образом, комплексный подход к обучению русскому языку иностранных граждан, находящихся в ситуации межкультурного взаимодействия, позволяет решать многие обучающие и культурологические задачи, активизирует мотивацию учащихся к процессу получения знаний, формирует компетенцию межкультурного общения.</w:t>
      </w:r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086E" w:rsidRPr="004C09CF" w:rsidRDefault="0010086E" w:rsidP="0010086E">
      <w:p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C09CF">
        <w:rPr>
          <w:rFonts w:ascii="Times New Roman" w:eastAsia="Times New Roman" w:hAnsi="Times New Roman" w:cs="Times New Roman"/>
          <w:sz w:val="18"/>
          <w:szCs w:val="20"/>
        </w:rPr>
        <w:t>1.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tab/>
        <w:t xml:space="preserve">Бердичевский, А.Л., Методика межкультурного образования средствами русского языка как иностранного. Книга для преподавателя / А.Л. Бердичевский и др., под ред. проф. А.Л. Бердичевского. – М.; 2011. </w:t>
      </w:r>
    </w:p>
    <w:p w:rsidR="0010086E" w:rsidRPr="004C09CF" w:rsidRDefault="0010086E" w:rsidP="0010086E">
      <w:p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C09CF">
        <w:rPr>
          <w:rFonts w:ascii="Times New Roman" w:eastAsia="Times New Roman" w:hAnsi="Times New Roman" w:cs="Times New Roman"/>
          <w:sz w:val="18"/>
          <w:szCs w:val="20"/>
        </w:rPr>
        <w:t>2.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tab/>
        <w:t>Елизарова, Г.В., Культура и обучение иностранным языкам / Г.В. Елизарова – СПб</w:t>
      </w:r>
      <w:proofErr w:type="gramStart"/>
      <w:r w:rsidRPr="004C09CF">
        <w:rPr>
          <w:rFonts w:ascii="Times New Roman" w:eastAsia="Times New Roman" w:hAnsi="Times New Roman" w:cs="Times New Roman"/>
          <w:sz w:val="18"/>
          <w:szCs w:val="20"/>
        </w:rPr>
        <w:t xml:space="preserve">.: </w:t>
      </w:r>
      <w:proofErr w:type="gramEnd"/>
      <w:r w:rsidRPr="004C09CF">
        <w:rPr>
          <w:rFonts w:ascii="Times New Roman" w:eastAsia="Times New Roman" w:hAnsi="Times New Roman" w:cs="Times New Roman"/>
          <w:sz w:val="18"/>
          <w:szCs w:val="20"/>
        </w:rPr>
        <w:t>КАРО, 2005.</w:t>
      </w:r>
    </w:p>
    <w:p w:rsidR="0010086E" w:rsidRPr="004C09CF" w:rsidRDefault="0010086E" w:rsidP="0010086E">
      <w:p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C09CF">
        <w:rPr>
          <w:rFonts w:ascii="Times New Roman" w:eastAsia="Times New Roman" w:hAnsi="Times New Roman" w:cs="Times New Roman"/>
          <w:sz w:val="18"/>
          <w:szCs w:val="20"/>
        </w:rPr>
        <w:t>3.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tab/>
        <w:t xml:space="preserve">Пассов, Е.И., </w:t>
      </w:r>
      <w:proofErr w:type="spellStart"/>
      <w:r w:rsidRPr="004C09CF">
        <w:rPr>
          <w:rFonts w:ascii="Times New Roman" w:eastAsia="Times New Roman" w:hAnsi="Times New Roman" w:cs="Times New Roman"/>
          <w:sz w:val="18"/>
          <w:szCs w:val="20"/>
        </w:rPr>
        <w:t>Коммуникативность</w:t>
      </w:r>
      <w:proofErr w:type="spellEnd"/>
      <w:r w:rsidRPr="004C09CF">
        <w:rPr>
          <w:rFonts w:ascii="Times New Roman" w:eastAsia="Times New Roman" w:hAnsi="Times New Roman" w:cs="Times New Roman"/>
          <w:sz w:val="18"/>
          <w:szCs w:val="20"/>
        </w:rPr>
        <w:t>:   прошлое, настоящее, будущее / Е.И. Пассов / Русский язык за рубежом. – 2010. - № 5 (222).</w:t>
      </w:r>
    </w:p>
    <w:p w:rsidR="0010086E" w:rsidRPr="004C09CF" w:rsidRDefault="0010086E" w:rsidP="0010086E">
      <w:p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C09CF">
        <w:rPr>
          <w:rFonts w:ascii="Times New Roman" w:eastAsia="Times New Roman" w:hAnsi="Times New Roman" w:cs="Times New Roman"/>
          <w:sz w:val="18"/>
          <w:szCs w:val="20"/>
        </w:rPr>
        <w:t>4.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tab/>
        <w:t>Чумак, Л.Н., Иностранные студенты в РБ в ситуации межкультурного взаимодействия / Язык и социум. Материалы VI  Международной научной конференции 3-4 декабря 2004 г., Минск;  часть I. – Мн. 2004. – с. 78-82.</w:t>
      </w:r>
    </w:p>
    <w:p w:rsidR="0010086E" w:rsidRPr="004C09CF" w:rsidRDefault="0010086E" w:rsidP="0010086E">
      <w:p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086E" w:rsidRPr="004C09CF" w:rsidRDefault="0010086E" w:rsidP="00100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0"/>
          <w:szCs w:val="20"/>
          <w:lang w:val="be-BY"/>
        </w:rPr>
      </w:pPr>
    </w:p>
    <w:p w:rsidR="002B4DF6" w:rsidRPr="0010086E" w:rsidRDefault="002B4DF6" w:rsidP="0010086E">
      <w:pPr>
        <w:rPr>
          <w:lang w:val="be-BY"/>
        </w:rPr>
      </w:pPr>
    </w:p>
    <w:sectPr w:rsidR="002B4DF6" w:rsidRPr="0010086E" w:rsidSect="001A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464"/>
    <w:multiLevelType w:val="hybridMultilevel"/>
    <w:tmpl w:val="5F32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67BC"/>
    <w:multiLevelType w:val="hybridMultilevel"/>
    <w:tmpl w:val="EADCB1F2"/>
    <w:lvl w:ilvl="0" w:tplc="008A1B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511497"/>
    <w:multiLevelType w:val="hybridMultilevel"/>
    <w:tmpl w:val="3CA028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A36419"/>
    <w:multiLevelType w:val="hybridMultilevel"/>
    <w:tmpl w:val="3162FD58"/>
    <w:lvl w:ilvl="0" w:tplc="A1AE1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5197E"/>
    <w:multiLevelType w:val="hybridMultilevel"/>
    <w:tmpl w:val="83968550"/>
    <w:lvl w:ilvl="0" w:tplc="B5E4788E">
      <w:start w:val="1"/>
      <w:numFmt w:val="decimal"/>
      <w:lvlText w:val="%1."/>
      <w:lvlJc w:val="left"/>
      <w:pPr>
        <w:ind w:left="659" w:hanging="37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AA5902"/>
    <w:multiLevelType w:val="hybridMultilevel"/>
    <w:tmpl w:val="EE16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C3E"/>
    <w:rsid w:val="0010086E"/>
    <w:rsid w:val="0017551C"/>
    <w:rsid w:val="001A16F9"/>
    <w:rsid w:val="002B21C5"/>
    <w:rsid w:val="002B4DF6"/>
    <w:rsid w:val="003D044A"/>
    <w:rsid w:val="005812BA"/>
    <w:rsid w:val="007643CE"/>
    <w:rsid w:val="0088526E"/>
    <w:rsid w:val="00935C3E"/>
    <w:rsid w:val="009F3954"/>
    <w:rsid w:val="00AB3F89"/>
    <w:rsid w:val="00C57D02"/>
    <w:rsid w:val="00E6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F9"/>
  </w:style>
  <w:style w:type="paragraph" w:styleId="2">
    <w:name w:val="heading 2"/>
    <w:basedOn w:val="a"/>
    <w:next w:val="a"/>
    <w:link w:val="20"/>
    <w:uiPriority w:val="9"/>
    <w:unhideWhenUsed/>
    <w:qFormat/>
    <w:rsid w:val="00935C3E"/>
    <w:pPr>
      <w:spacing w:after="0" w:line="240" w:lineRule="auto"/>
      <w:ind w:firstLine="708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C3E"/>
    <w:rPr>
      <w:rFonts w:ascii="Times New Roman" w:eastAsia="Calibr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2016-03-21T15:47:00Z</dcterms:created>
  <dcterms:modified xsi:type="dcterms:W3CDTF">2016-03-21T16:43:00Z</dcterms:modified>
</cp:coreProperties>
</file>